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pPr w:leftFromText="180" w:rightFromText="180" w:vertAnchor="text" w:horzAnchor="page" w:tblpX="1099" w:tblpY="-827"/>
        <w:tblOverlap w:val="never"/>
        <w:tblW w:w="103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77"/>
        <w:gridCol w:w="7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14" w:hRule="atLeast"/>
        </w:trPr>
        <w:tc>
          <w:tcPr>
            <w:tcW w:w="2977" w:type="dxa"/>
            <w:vAlign w:val="center"/>
          </w:tcPr>
          <w:p>
            <w:pPr>
              <w:pStyle w:val="28"/>
              <w:ind w:left="141" w:leftChars="67"/>
              <w:rPr>
                <w:rFonts w:ascii="思源黑体" w:hAnsi="思源黑体" w:eastAsia="思源黑体"/>
                <w:b/>
                <w:color w:val="D70C25"/>
                <w:sz w:val="18"/>
                <w:szCs w:val="18"/>
              </w:rPr>
            </w:pPr>
            <w:r>
              <w:rPr>
                <w:rFonts w:hint="eastAsia" w:ascii="思源黑体" w:hAnsi="思源黑体" w:eastAsia="思源黑体"/>
                <w:b/>
                <w:color w:val="D70C25"/>
                <w:sz w:val="18"/>
                <w:szCs w:val="18"/>
              </w:rPr>
              <w:t>投资咨询业务资格：</w:t>
            </w:r>
          </w:p>
          <w:p>
            <w:pPr>
              <w:pStyle w:val="28"/>
              <w:ind w:left="141" w:leftChars="67"/>
              <w:rPr>
                <w:rFonts w:ascii="思源黑体" w:hAnsi="思源黑体" w:eastAsia="思源黑体"/>
                <w:b/>
                <w:color w:val="D70C25"/>
                <w:sz w:val="13"/>
                <w:szCs w:val="13"/>
              </w:rPr>
            </w:pPr>
            <w:r>
              <w:rPr>
                <w:rFonts w:ascii="思源黑体" w:hAnsi="思源黑体" w:eastAsia="思源黑体"/>
                <w:b/>
                <w:color w:val="D70C25"/>
                <w:sz w:val="18"/>
                <w:szCs w:val="18"/>
              </w:rPr>
              <w:t>证监许可[2011]1771号</w:t>
            </w:r>
          </w:p>
        </w:tc>
        <w:tc>
          <w:tcPr>
            <w:tcW w:w="7371" w:type="dxa"/>
            <w:vAlign w:val="center"/>
          </w:tcPr>
          <w:p>
            <w:pPr>
              <w:pStyle w:val="28"/>
              <w:ind w:left="141" w:leftChars="67"/>
              <w:jc w:val="right"/>
              <w:rPr>
                <w:rFonts w:ascii="思源黑体" w:hAnsi="思源黑体" w:eastAsia="思源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977" w:type="dxa"/>
          </w:tcPr>
          <w:p>
            <w:pPr>
              <w:pStyle w:val="28"/>
              <w:rPr>
                <w:rFonts w:ascii="思源黑体" w:hAnsi="思源黑体" w:eastAsia="思源黑体"/>
                <w:b/>
                <w:color w:val="D70C25"/>
                <w:sz w:val="28"/>
              </w:rPr>
            </w:pPr>
          </w:p>
        </w:tc>
        <w:tc>
          <w:tcPr>
            <w:tcW w:w="7371" w:type="dxa"/>
            <w:tcMar>
              <w:top w:w="227" w:type="dxa"/>
            </w:tcMar>
            <w:vAlign w:val="center"/>
          </w:tcPr>
          <w:p>
            <w:pPr>
              <w:pStyle w:val="28"/>
              <w:ind w:left="141" w:leftChars="67"/>
              <w:rPr>
                <w:rFonts w:ascii="思源黑体" w:hAnsi="思源黑体" w:eastAsia="思源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2977" w:type="dxa"/>
          </w:tcPr>
          <w:p>
            <w:pPr>
              <w:pStyle w:val="28"/>
              <w:rPr>
                <w:rFonts w:ascii="思源黑体" w:hAnsi="思源黑体" w:eastAsia="思源黑体"/>
                <w:b/>
                <w:color w:val="D70C25"/>
                <w:sz w:val="28"/>
              </w:rPr>
            </w:pPr>
            <w:r>
              <w:rPr>
                <w:rFonts w:hint="eastAsia" w:ascii="思源黑体" w:hAnsi="思源黑体" w:eastAsia="思源黑体"/>
                <w:b/>
                <w:color w:val="D70C25"/>
                <w:sz w:val="28"/>
              </w:rPr>
              <w:t>20</w:t>
            </w:r>
            <w:r>
              <w:rPr>
                <w:rFonts w:ascii="思源黑体" w:hAnsi="思源黑体" w:eastAsia="思源黑体"/>
                <w:b/>
                <w:color w:val="D70C25"/>
                <w:sz w:val="28"/>
              </w:rPr>
              <w:t>2</w:t>
            </w:r>
            <w:r>
              <w:rPr>
                <w:rFonts w:hint="eastAsia" w:ascii="思源黑体" w:hAnsi="思源黑体" w:eastAsia="思源黑体"/>
                <w:b/>
                <w:color w:val="D70C25"/>
                <w:sz w:val="28"/>
              </w:rPr>
              <w:t>4年</w:t>
            </w:r>
            <w:r>
              <w:rPr>
                <w:rFonts w:hint="eastAsia" w:ascii="思源黑体" w:hAnsi="思源黑体" w:eastAsia="思源黑体"/>
                <w:b/>
                <w:color w:val="D70C25"/>
                <w:sz w:val="28"/>
                <w:lang w:val="en-US" w:eastAsia="zh-CN"/>
              </w:rPr>
              <w:t>4</w:t>
            </w:r>
            <w:r>
              <w:rPr>
                <w:rFonts w:hint="eastAsia" w:ascii="思源黑体" w:hAnsi="思源黑体" w:eastAsia="思源黑体"/>
                <w:b/>
                <w:color w:val="D70C25"/>
                <w:sz w:val="28"/>
              </w:rPr>
              <w:t>月</w:t>
            </w:r>
            <w:r>
              <w:rPr>
                <w:rFonts w:hint="eastAsia" w:ascii="思源黑体" w:hAnsi="思源黑体" w:eastAsia="思源黑体"/>
                <w:b/>
                <w:color w:val="D70C25"/>
                <w:sz w:val="28"/>
                <w:lang w:val="en-US" w:eastAsia="zh-CN"/>
              </w:rPr>
              <w:t>23</w:t>
            </w:r>
            <w:r>
              <w:rPr>
                <w:rFonts w:hint="eastAsia" w:ascii="思源黑体" w:hAnsi="思源黑体" w:eastAsia="思源黑体"/>
                <w:b/>
                <w:color w:val="D70C25"/>
                <w:sz w:val="28"/>
              </w:rPr>
              <w:t>日</w:t>
            </w:r>
          </w:p>
        </w:tc>
        <w:tc>
          <w:tcPr>
            <w:tcW w:w="7371" w:type="dxa"/>
            <w:tcMar>
              <w:top w:w="227" w:type="dxa"/>
            </w:tcMar>
            <w:vAlign w:val="center"/>
          </w:tcPr>
          <w:p>
            <w:pPr>
              <w:pStyle w:val="28"/>
              <w:jc w:val="center"/>
              <w:rPr>
                <w:rFonts w:ascii="思源黑体" w:hAnsi="思源黑体" w:eastAsia="思源黑体"/>
              </w:rPr>
            </w:pPr>
            <w:r>
              <w:rPr>
                <w:rFonts w:hint="eastAsia" w:ascii="思源黑体" w:hAnsi="思源黑体" w:eastAsia="思源黑体"/>
                <w:b/>
                <w:color w:val="D70C25"/>
                <w:sz w:val="32"/>
                <w:szCs w:val="32"/>
              </w:rPr>
              <w:t>研究所晨会观点精萃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024" w:hRule="atLeast"/>
        </w:trPr>
        <w:tc>
          <w:tcPr>
            <w:tcW w:w="2977" w:type="dxa"/>
          </w:tcPr>
          <w:tbl>
            <w:tblPr>
              <w:tblStyle w:val="13"/>
              <w:tblW w:w="2835" w:type="dxa"/>
              <w:tblInd w:w="0" w:type="dxa"/>
              <w:tblLayout w:type="fixed"/>
              <w:tblCellMar>
                <w:top w:w="0" w:type="dxa"/>
                <w:left w:w="108" w:type="dxa"/>
                <w:bottom w:w="0" w:type="dxa"/>
                <w:right w:w="108" w:type="dxa"/>
              </w:tblCellMar>
            </w:tblPr>
            <w:tblGrid>
              <w:gridCol w:w="2835"/>
            </w:tblGrid>
            <w:tr>
              <w:tblPrEx>
                <w:tblCellMar>
                  <w:top w:w="0" w:type="dxa"/>
                  <w:left w:w="108" w:type="dxa"/>
                  <w:bottom w:w="0" w:type="dxa"/>
                  <w:right w:w="108" w:type="dxa"/>
                </w:tblCellMar>
              </w:tblPrEx>
              <w:tc>
                <w:tcPr>
                  <w:tcW w:w="2835" w:type="dxa"/>
                </w:tcPr>
                <w:tbl>
                  <w:tblPr>
                    <w:tblStyle w:val="14"/>
                    <w:tblW w:w="28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exact"/>
                    </w:trPr>
                    <w:tc>
                      <w:tcPr>
                        <w:tcW w:w="2835" w:type="dxa"/>
                        <w:vAlign w:val="center"/>
                      </w:tcPr>
                      <w:p>
                        <w:pPr>
                          <w:pStyle w:val="28"/>
                          <w:spacing w:line="240" w:lineRule="auto"/>
                          <w:ind w:left="141" w:leftChars="67"/>
                          <w:rPr>
                            <w:rFonts w:ascii="思源黑体" w:hAnsi="思源黑体" w:eastAsia="思源黑体"/>
                          </w:rPr>
                        </w:pPr>
                        <w:r>
                          <w:rPr>
                            <w:rFonts w:hint="eastAsia" w:ascii="思源黑体" w:hAnsi="思源黑体" w:eastAsia="思源黑体"/>
                          </w:rPr>
                          <w:t>[Table_Report]</w:t>
                        </w:r>
                      </w:p>
                    </w:tc>
                  </w:tr>
                </w:tbl>
                <w:p>
                  <w:pPr>
                    <w:pStyle w:val="28"/>
                    <w:spacing w:line="240" w:lineRule="auto"/>
                    <w:ind w:left="141" w:leftChars="67"/>
                    <w:rPr>
                      <w:rFonts w:ascii="思源黑体" w:hAnsi="思源黑体" w:eastAsia="思源黑体"/>
                    </w:rPr>
                  </w:pPr>
                </w:p>
              </w:tc>
            </w:tr>
          </w:tbl>
          <w:p>
            <w:pPr>
              <w:snapToGrid w:val="0"/>
              <w:spacing w:line="240" w:lineRule="auto"/>
              <w:ind w:left="141" w:hanging="141" w:hangingChars="67"/>
              <w:jc w:val="left"/>
              <w:rPr>
                <w:rFonts w:ascii="思源黑体" w:hAnsi="思源黑体" w:eastAsia="思源黑体"/>
                <w:b/>
                <w:color w:val="D70C25"/>
              </w:rPr>
            </w:pPr>
            <w:r>
              <w:rPr>
                <w:rFonts w:hint="eastAsia" w:ascii="思源黑体" w:hAnsi="思源黑体" w:eastAsia="思源黑体"/>
                <w:b/>
                <w:color w:val="D70C25"/>
              </w:rPr>
              <w:t>分析师</w:t>
            </w:r>
          </w:p>
          <w:p>
            <w:pPr>
              <w:snapToGrid w:val="0"/>
              <w:spacing w:line="240" w:lineRule="auto"/>
              <w:ind w:left="141" w:hanging="141" w:hangingChars="67"/>
              <w:jc w:val="left"/>
              <w:rPr>
                <w:rFonts w:ascii="思源黑体" w:hAnsi="思源黑体" w:eastAsia="思源黑体" w:cs="Arial"/>
                <w:b/>
                <w:bCs/>
                <w:color w:val="000000"/>
              </w:rPr>
            </w:pPr>
            <w:r>
              <w:rPr>
                <w:rFonts w:hint="eastAsia" w:ascii="思源黑体" w:hAnsi="思源黑体" w:eastAsia="思源黑体" w:cs="Arial"/>
                <w:b/>
                <w:bCs/>
                <w:color w:val="000000"/>
              </w:rPr>
              <w:t>贾利军</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从业资格证号：F0256916</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投资咨询证号：Z0000671</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电话</w:t>
            </w:r>
            <w:r>
              <w:rPr>
                <w:rFonts w:ascii="思源黑体" w:hAnsi="思源黑体" w:eastAsia="思源黑体" w:cs="Arial"/>
                <w:color w:val="000000"/>
              </w:rPr>
              <w:t>：</w:t>
            </w:r>
            <w:r>
              <w:rPr>
                <w:rFonts w:hint="eastAsia" w:ascii="思源黑体" w:hAnsi="思源黑体" w:eastAsia="思源黑体" w:cs="Arial"/>
                <w:color w:val="000000"/>
              </w:rPr>
              <w:t>021-68757181</w:t>
            </w:r>
          </w:p>
          <w:p>
            <w:pPr>
              <w:snapToGrid w:val="0"/>
              <w:spacing w:line="240" w:lineRule="auto"/>
              <w:ind w:left="141" w:hanging="140" w:hangingChars="67"/>
              <w:jc w:val="left"/>
              <w:rPr>
                <w:rFonts w:ascii="思源黑体" w:hAnsi="思源黑体" w:eastAsia="思源黑体"/>
                <w:b/>
                <w:color w:val="D70C25"/>
              </w:rPr>
            </w:pPr>
            <w:r>
              <w:rPr>
                <w:rFonts w:hint="eastAsia" w:ascii="思源黑体" w:hAnsi="思源黑体" w:eastAsia="思源黑体" w:cs="Arial"/>
                <w:color w:val="000000"/>
              </w:rPr>
              <w:t>邮箱：jialj@qh168.com.cn</w:t>
            </w:r>
          </w:p>
          <w:p>
            <w:pPr>
              <w:snapToGrid w:val="0"/>
              <w:spacing w:line="240" w:lineRule="auto"/>
              <w:ind w:left="141" w:hanging="141" w:hangingChars="67"/>
              <w:jc w:val="left"/>
              <w:rPr>
                <w:rFonts w:ascii="思源黑体" w:hAnsi="思源黑体" w:eastAsia="思源黑体" w:cs="Arial"/>
                <w:b/>
                <w:color w:val="000000"/>
              </w:rPr>
            </w:pPr>
            <w:r>
              <w:rPr>
                <w:rFonts w:hint="eastAsia" w:ascii="思源黑体" w:hAnsi="思源黑体" w:eastAsia="思源黑体" w:cs="Arial"/>
                <w:b/>
                <w:color w:val="000000"/>
              </w:rPr>
              <w:t>明道雨</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从业资格证号：</w:t>
            </w:r>
            <w:r>
              <w:rPr>
                <w:rFonts w:hint="eastAsia" w:ascii="思源黑体" w:hAnsi="思源黑体" w:eastAsia="思源黑体" w:cs="Arial"/>
                <w:bCs/>
                <w:color w:val="000000"/>
              </w:rPr>
              <w:t>F03092124</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投资咨询证号：Z0018827</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color w:val="000000"/>
              </w:rPr>
              <w:t>电话</w:t>
            </w:r>
            <w:r>
              <w:rPr>
                <w:rFonts w:ascii="思源黑体" w:hAnsi="思源黑体" w:eastAsia="思源黑体" w:cs="Arial"/>
                <w:color w:val="000000"/>
              </w:rPr>
              <w:t>：</w:t>
            </w:r>
            <w:r>
              <w:rPr>
                <w:rFonts w:hint="eastAsia" w:ascii="思源黑体" w:hAnsi="思源黑体" w:eastAsia="思源黑体" w:cs="Arial"/>
                <w:bCs/>
                <w:color w:val="000000"/>
              </w:rPr>
              <w:t>021-68758120</w:t>
            </w:r>
          </w:p>
          <w:p>
            <w:pPr>
              <w:tabs>
                <w:tab w:val="left" w:pos="2914"/>
              </w:tabs>
              <w:snapToGrid w:val="0"/>
              <w:spacing w:line="240" w:lineRule="auto"/>
              <w:ind w:left="141" w:right="-703" w:rightChars="-335" w:hanging="140" w:hangingChars="67"/>
              <w:jc w:val="left"/>
              <w:rPr>
                <w:rFonts w:ascii="思源黑体" w:hAnsi="思源黑体" w:eastAsia="思源黑体" w:cs="Arial"/>
                <w:b/>
                <w:bCs/>
                <w:color w:val="C00000"/>
              </w:rPr>
            </w:pPr>
            <w:r>
              <w:rPr>
                <w:rFonts w:hint="eastAsia" w:ascii="思源黑体" w:hAnsi="思源黑体" w:eastAsia="思源黑体" w:cs="Arial"/>
                <w:color w:val="000000"/>
              </w:rPr>
              <w:t>邮箱：</w:t>
            </w:r>
            <w:r>
              <w:rPr>
                <w:rFonts w:hint="eastAsia" w:ascii="思源黑体" w:hAnsi="思源黑体" w:eastAsia="思源黑体" w:cs="Arial"/>
                <w:bCs/>
                <w:color w:val="000000"/>
              </w:rPr>
              <w:t>mingdy@qh168.com.cn</w:t>
            </w:r>
          </w:p>
          <w:p>
            <w:pPr>
              <w:snapToGrid w:val="0"/>
              <w:spacing w:line="240" w:lineRule="auto"/>
              <w:ind w:left="141" w:hanging="141" w:hangingChars="67"/>
              <w:jc w:val="left"/>
              <w:rPr>
                <w:rFonts w:ascii="思源黑体" w:hAnsi="思源黑体" w:eastAsia="思源黑体" w:cs="Arial"/>
                <w:b/>
                <w:bCs/>
                <w:color w:val="000000"/>
              </w:rPr>
            </w:pPr>
            <w:r>
              <w:rPr>
                <w:rFonts w:hint="eastAsia" w:ascii="思源黑体" w:hAnsi="思源黑体" w:eastAsia="思源黑体" w:cs="Arial"/>
                <w:b/>
                <w:bCs/>
                <w:color w:val="000000"/>
              </w:rPr>
              <w:t>刘慧峰</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从业资格证号：F3033924</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投资咨询证号：Z0013026</w:t>
            </w:r>
          </w:p>
          <w:p>
            <w:pPr>
              <w:snapToGrid w:val="0"/>
              <w:spacing w:line="240" w:lineRule="auto"/>
              <w:ind w:left="141" w:hanging="140" w:hangingChars="67"/>
              <w:jc w:val="left"/>
              <w:rPr>
                <w:rFonts w:ascii="思源黑体" w:hAnsi="思源黑体" w:eastAsia="思源黑体" w:cs="Arial"/>
                <w:color w:val="000000"/>
              </w:rPr>
            </w:pPr>
            <w:r>
              <w:rPr>
                <w:rFonts w:hint="eastAsia" w:ascii="思源黑体" w:hAnsi="思源黑体" w:eastAsia="思源黑体" w:cs="Arial"/>
                <w:color w:val="000000"/>
              </w:rPr>
              <w:t>电话</w:t>
            </w:r>
            <w:r>
              <w:rPr>
                <w:rFonts w:ascii="思源黑体" w:hAnsi="思源黑体" w:eastAsia="思源黑体" w:cs="Arial"/>
                <w:color w:val="000000"/>
              </w:rPr>
              <w:t>：</w:t>
            </w:r>
            <w:r>
              <w:rPr>
                <w:rFonts w:hint="eastAsia" w:ascii="思源黑体" w:hAnsi="思源黑体" w:eastAsia="思源黑体" w:cs="Arial"/>
                <w:color w:val="000000"/>
              </w:rPr>
              <w:t>021-68757</w:t>
            </w:r>
            <w:r>
              <w:rPr>
                <w:rFonts w:ascii="思源黑体" w:hAnsi="思源黑体" w:eastAsia="思源黑体" w:cs="Arial"/>
                <w:color w:val="000000"/>
              </w:rPr>
              <w:t>089</w:t>
            </w:r>
          </w:p>
          <w:p>
            <w:pPr>
              <w:tabs>
                <w:tab w:val="left" w:pos="2914"/>
              </w:tabs>
              <w:snapToGrid w:val="0"/>
              <w:spacing w:line="240" w:lineRule="auto"/>
              <w:ind w:left="141" w:right="-703" w:rightChars="-335" w:hanging="140" w:hangingChars="67"/>
              <w:jc w:val="left"/>
              <w:rPr>
                <w:rFonts w:ascii="思源黑体" w:hAnsi="思源黑体" w:eastAsia="思源黑体" w:cs="Arial"/>
                <w:b/>
                <w:color w:val="000000"/>
              </w:rPr>
            </w:pPr>
            <w:r>
              <w:rPr>
                <w:rFonts w:hint="eastAsia" w:ascii="思源黑体" w:hAnsi="思源黑体" w:eastAsia="思源黑体" w:cs="Arial"/>
                <w:color w:val="000000"/>
              </w:rPr>
              <w:t>邮箱：Liuhf@qh168.com.cn</w:t>
            </w:r>
          </w:p>
          <w:p>
            <w:pPr>
              <w:snapToGrid w:val="0"/>
              <w:spacing w:line="240" w:lineRule="auto"/>
              <w:jc w:val="left"/>
              <w:rPr>
                <w:rFonts w:ascii="思源黑体" w:hAnsi="思源黑体" w:eastAsia="思源黑体" w:cs="Arial"/>
                <w:b/>
                <w:color w:val="000000"/>
              </w:rPr>
            </w:pPr>
            <w:r>
              <w:rPr>
                <w:rFonts w:hint="eastAsia" w:ascii="思源黑体" w:hAnsi="思源黑体" w:eastAsia="思源黑体" w:cs="Arial"/>
                <w:b/>
                <w:color w:val="000000"/>
              </w:rPr>
              <w:t>刘兵</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bCs/>
                <w:color w:val="000000"/>
              </w:rPr>
              <w:t>从业资格证号：F03091165</w:t>
            </w:r>
          </w:p>
          <w:p>
            <w:pPr>
              <w:snapToGrid w:val="0"/>
              <w:spacing w:line="240" w:lineRule="auto"/>
              <w:jc w:val="left"/>
              <w:rPr>
                <w:rFonts w:ascii="思源黑体" w:hAnsi="思源黑体" w:eastAsia="思源黑体" w:cs="Arial"/>
                <w:bCs/>
                <w:color w:val="000000"/>
              </w:rPr>
            </w:pPr>
            <w:r>
              <w:rPr>
                <w:rFonts w:hint="eastAsia" w:ascii="思源黑体" w:hAnsi="思源黑体" w:eastAsia="思源黑体" w:cs="Arial"/>
                <w:bCs/>
                <w:color w:val="000000"/>
              </w:rPr>
              <w:t>投资咨询证号：Z0019876</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bCs/>
                <w:color w:val="000000"/>
              </w:rPr>
              <w:t>联系电话：021-68757827</w:t>
            </w:r>
          </w:p>
          <w:p>
            <w:pPr>
              <w:snapToGrid w:val="0"/>
              <w:spacing w:line="240" w:lineRule="auto"/>
              <w:ind w:left="141" w:hanging="140" w:hangingChars="67"/>
              <w:jc w:val="left"/>
              <w:rPr>
                <w:rFonts w:ascii="思源黑体" w:hAnsi="思源黑体" w:eastAsia="思源黑体" w:cs="Arial"/>
                <w:b/>
                <w:bCs/>
                <w:color w:val="C00000"/>
              </w:rPr>
            </w:pPr>
            <w:r>
              <w:rPr>
                <w:rFonts w:hint="eastAsia" w:ascii="思源黑体" w:hAnsi="思源黑体" w:eastAsia="思源黑体" w:cs="Arial"/>
                <w:bCs/>
                <w:color w:val="000000"/>
              </w:rPr>
              <w:t>邮箱：</w:t>
            </w:r>
            <w:r>
              <w:fldChar w:fldCharType="begin"/>
            </w:r>
            <w:r>
              <w:instrText xml:space="preserve"> HYPERLINK "mailto:liub@qh168.com.cn" </w:instrText>
            </w:r>
            <w:r>
              <w:fldChar w:fldCharType="separate"/>
            </w:r>
            <w:r>
              <w:rPr>
                <w:rFonts w:hint="eastAsia" w:ascii="思源黑体" w:hAnsi="思源黑体" w:eastAsia="思源黑体" w:cs="Arial"/>
                <w:bCs/>
                <w:color w:val="000000"/>
              </w:rPr>
              <w:t>liub@qh168.com.cn</w:t>
            </w:r>
            <w:r>
              <w:rPr>
                <w:rFonts w:hint="eastAsia" w:ascii="思源黑体" w:hAnsi="思源黑体" w:eastAsia="思源黑体" w:cs="Arial"/>
                <w:bCs/>
                <w:color w:val="000000"/>
              </w:rPr>
              <w:fldChar w:fldCharType="end"/>
            </w:r>
          </w:p>
          <w:p>
            <w:pPr>
              <w:snapToGrid w:val="0"/>
              <w:spacing w:line="240" w:lineRule="auto"/>
              <w:ind w:left="141" w:hanging="141" w:hangingChars="67"/>
              <w:jc w:val="left"/>
              <w:rPr>
                <w:rFonts w:ascii="思源黑体" w:hAnsi="思源黑体" w:eastAsia="思源黑体" w:cs="Arial"/>
                <w:b/>
                <w:color w:val="000000"/>
              </w:rPr>
            </w:pPr>
            <w:r>
              <w:rPr>
                <w:rFonts w:hint="eastAsia" w:ascii="思源黑体" w:hAnsi="思源黑体" w:eastAsia="思源黑体" w:cs="Arial"/>
                <w:b/>
                <w:color w:val="000000"/>
              </w:rPr>
              <w:t>王亦路</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bCs/>
                <w:color w:val="000000"/>
              </w:rPr>
              <w:t>从业资格证号：F03089928</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color w:val="000000"/>
              </w:rPr>
              <w:t>投资咨询证号：Z0019740</w:t>
            </w:r>
          </w:p>
          <w:p>
            <w:pPr>
              <w:snapToGrid w:val="0"/>
              <w:spacing w:line="24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bCs/>
                <w:color w:val="000000"/>
              </w:rPr>
              <w:t>电话：021-68757827</w:t>
            </w:r>
          </w:p>
          <w:p>
            <w:pPr>
              <w:pStyle w:val="28"/>
              <w:spacing w:line="240" w:lineRule="auto"/>
              <w:rPr>
                <w:rFonts w:ascii="思源黑体" w:hAnsi="思源黑体" w:eastAsia="思源黑体"/>
              </w:rPr>
            </w:pPr>
            <w:r>
              <w:rPr>
                <w:rFonts w:hint="eastAsia" w:ascii="思源黑体" w:hAnsi="思源黑体" w:eastAsia="思源黑体" w:cs="Arial"/>
                <w:bCs/>
                <w:color w:val="000000"/>
              </w:rPr>
              <w:t>邮箱：wangyil@qh168.com.cn</w:t>
            </w:r>
          </w:p>
        </w:tc>
        <w:tc>
          <w:tcPr>
            <w:tcW w:w="7371" w:type="dxa"/>
          </w:tcPr>
          <w:tbl>
            <w:tblPr>
              <w:tblStyle w:val="14"/>
              <w:tblW w:w="73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0" w:type="dxa"/>
              </w:tblCellMar>
            </w:tblPr>
            <w:tblGrid>
              <w:gridCol w:w="73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rPr>
                <w:trHeight w:val="5607" w:hRule="atLeast"/>
              </w:trPr>
              <w:tc>
                <w:tcPr>
                  <w:tcW w:w="7361" w:type="dxa"/>
                  <w:tcMar>
                    <w:top w:w="227" w:type="dxa"/>
                    <w:bottom w:w="227" w:type="dxa"/>
                  </w:tcMar>
                </w:tcPr>
                <w:p>
                  <w:pPr>
                    <w:snapToGrid w:val="0"/>
                    <w:spacing w:line="300" w:lineRule="auto"/>
                    <w:jc w:val="left"/>
                    <w:rPr>
                      <w:rFonts w:hint="default" w:ascii="思源黑体" w:hAnsi="思源黑体" w:eastAsia="思源黑体" w:cs="Arial"/>
                      <w:b/>
                      <w:bCs w:val="0"/>
                      <w:color w:val="000000"/>
                      <w:sz w:val="24"/>
                      <w:szCs w:val="24"/>
                      <w:lang w:val="en-US" w:eastAsia="zh-CN"/>
                    </w:rPr>
                  </w:pPr>
                  <w:r>
                    <w:rPr>
                      <w:rFonts w:hint="eastAsia" w:ascii="思源黑体" w:hAnsi="思源黑体" w:eastAsia="思源黑体" w:cs="Arial"/>
                      <w:b/>
                      <w:bCs w:val="0"/>
                      <w:color w:val="000000"/>
                      <w:sz w:val="24"/>
                      <w:szCs w:val="24"/>
                      <w:lang w:val="en-US" w:eastAsia="zh-CN"/>
                    </w:rPr>
                    <w:t>宏观金融：</w:t>
                  </w:r>
                  <w:bookmarkStart w:id="0" w:name="_GoBack"/>
                  <w:r>
                    <w:rPr>
                      <w:rFonts w:hint="eastAsia" w:ascii="思源黑体" w:hAnsi="思源黑体" w:eastAsia="思源黑体" w:cs="Arial"/>
                      <w:b/>
                      <w:bCs w:val="0"/>
                      <w:color w:val="000000"/>
                      <w:sz w:val="24"/>
                      <w:szCs w:val="24"/>
                      <w:lang w:val="en-US" w:eastAsia="zh-CN"/>
                    </w:rPr>
                    <w:t>中东地缘局势有所缓解，全球避险情绪有所降温</w:t>
                  </w:r>
                </w:p>
                <w:bookmarkEnd w:id="0"/>
                <w:p/>
                <w:p>
                  <w:pPr>
                    <w:snapToGrid w:val="0"/>
                    <w:spacing w:line="300" w:lineRule="auto"/>
                    <w:ind w:left="141" w:hanging="140" w:hangingChars="67"/>
                    <w:jc w:val="left"/>
                    <w:rPr>
                      <w:rFonts w:hint="eastAsia" w:ascii="思源黑体" w:hAnsi="思源黑体" w:eastAsia="思源黑体" w:cs="Arial"/>
                      <w:b w:val="0"/>
                      <w:bCs/>
                      <w:color w:val="000000"/>
                      <w:sz w:val="21"/>
                      <w:szCs w:val="21"/>
                      <w:lang w:val="en-US" w:eastAsia="zh-CN"/>
                    </w:rPr>
                  </w:pPr>
                  <w:r>
                    <w:rPr>
                      <w:rFonts w:hint="eastAsia" w:ascii="思源黑体" w:hAnsi="思源黑体" w:eastAsia="思源黑体" w:cs="Arial"/>
                      <w:b w:val="0"/>
                      <w:bCs/>
                      <w:color w:val="000000"/>
                      <w:sz w:val="21"/>
                      <w:szCs w:val="21"/>
                      <w:lang w:val="en-US" w:eastAsia="zh-CN"/>
                    </w:rPr>
                    <w:t>【宏观】 海外方面，欧洲央行表示今年降息幅度或超过100个基点，以及中东紧张升温地缘局势缓解，全球避险情绪下降，全球风险偏好有所升温。国内方面，中国一季度GDP同比增长5.3%，经济数据好于市场预期，以及证监会发声解释相关政策，国内市场情绪重新回暖；但是美联储降息预期降温短期打压国内风险偏好。资产上：股指短期震荡，维持为短期谨慎观望。国债高位偏强震荡，谨慎观望。商品板块来看，黑色短期震荡反弹，短期谨慎做多；有色短期震荡偏强，维持谨慎做多；能化短期震荡回调，谨慎观望；贵金属短期震荡回调，谨慎观望。</w:t>
                  </w:r>
                </w:p>
                <w:p>
                  <w:pPr>
                    <w:snapToGrid w:val="0"/>
                    <w:spacing w:line="300" w:lineRule="auto"/>
                    <w:ind w:left="141" w:hanging="140" w:hangingChars="67"/>
                    <w:jc w:val="left"/>
                    <w:rPr>
                      <w:rFonts w:hint="eastAsia" w:ascii="思源黑体" w:hAnsi="思源黑体" w:eastAsia="思源黑体" w:cs="Arial"/>
                      <w:b w:val="0"/>
                      <w:bCs/>
                      <w:color w:val="000000"/>
                      <w:sz w:val="21"/>
                      <w:szCs w:val="21"/>
                      <w:lang w:val="en-US" w:eastAsia="zh-CN"/>
                    </w:rPr>
                  </w:pPr>
                </w:p>
                <w:p>
                  <w:pPr>
                    <w:rPr>
                      <w:rFonts w:hint="default" w:ascii="思源黑体" w:hAnsi="思源黑体" w:eastAsia="思源黑体" w:cs="Arial"/>
                      <w:b w:val="0"/>
                      <w:bCs/>
                      <w:color w:val="000000"/>
                      <w:sz w:val="21"/>
                      <w:szCs w:val="21"/>
                      <w:lang w:val="en-US" w:eastAsia="zh-CN"/>
                    </w:rPr>
                  </w:pPr>
                  <w:r>
                    <w:rPr>
                      <w:rFonts w:hint="eastAsia" w:ascii="思源黑体" w:hAnsi="思源黑体" w:eastAsia="思源黑体" w:cs="Arial"/>
                      <w:bCs/>
                      <w:color w:val="000000"/>
                    </w:rPr>
                    <w:t>【股指】</w:t>
                  </w:r>
                  <w:r>
                    <w:rPr>
                      <w:rFonts w:hint="eastAsia" w:ascii="思源黑体" w:hAnsi="思源黑体" w:eastAsia="思源黑体" w:cs="Arial"/>
                      <w:bCs/>
                      <w:color w:val="000000"/>
                      <w:lang w:val="en-US" w:eastAsia="zh-CN"/>
                    </w:rPr>
                    <w:t xml:space="preserve"> </w:t>
                  </w:r>
                  <w:r>
                    <w:rPr>
                      <w:rFonts w:hint="eastAsia" w:ascii="思源黑体" w:hAnsi="思源黑体" w:eastAsia="思源黑体" w:cs="Arial"/>
                      <w:b w:val="0"/>
                      <w:bCs/>
                      <w:color w:val="000000"/>
                      <w:sz w:val="21"/>
                      <w:szCs w:val="21"/>
                      <w:lang w:val="en-US" w:eastAsia="zh-CN"/>
                    </w:rPr>
                    <w:t>在贵金属、煤炭以及飞行汽车等板块的拖累下，国内股市继续小幅下跌。基本面上，中国一季度GDP同比增长5.3%，经济数据好于市场预期，以及证监会发声解释相关政策，国内市场情绪重新回暖；但是美联储降息预期降温短期打压国内风险偏好。操作方面，短期谨慎观望。</w:t>
                  </w:r>
                </w:p>
                <w:p>
                  <w:pPr>
                    <w:rPr>
                      <w:rFonts w:hint="default" w:ascii="思源黑体" w:hAnsi="思源黑体" w:eastAsia="思源黑体" w:cs="Arial"/>
                      <w:b w:val="0"/>
                      <w:bCs/>
                      <w:color w:val="000000"/>
                      <w:sz w:val="21"/>
                      <w:szCs w:val="21"/>
                      <w:lang w:val="en-US" w:eastAsia="zh-CN"/>
                    </w:rPr>
                  </w:pPr>
                </w:p>
                <w:p>
                  <w:pPr>
                    <w:snapToGrid w:val="0"/>
                    <w:spacing w:line="300" w:lineRule="auto"/>
                    <w:ind w:left="161" w:hanging="161" w:hangingChars="67"/>
                    <w:jc w:val="left"/>
                    <w:rPr>
                      <w:rFonts w:ascii="思源黑体" w:hAnsi="思源黑体" w:eastAsia="思源黑体" w:cs="Arial"/>
                      <w:b/>
                      <w:color w:val="000000"/>
                      <w:sz w:val="24"/>
                      <w:szCs w:val="24"/>
                    </w:rPr>
                  </w:pPr>
                  <w:r>
                    <w:rPr>
                      <w:rFonts w:hint="eastAsia" w:ascii="思源黑体" w:hAnsi="思源黑体" w:eastAsia="思源黑体" w:cs="Arial"/>
                      <w:b/>
                      <w:color w:val="000000"/>
                      <w:sz w:val="24"/>
                      <w:szCs w:val="24"/>
                    </w:rPr>
                    <w:t>黑色金属：现实需求偏弱，钢材期现货价格有所回调</w:t>
                  </w:r>
                </w:p>
                <w:p>
                  <w:pPr>
                    <w:snapToGrid w:val="0"/>
                    <w:spacing w:line="300" w:lineRule="auto"/>
                    <w:ind w:left="161" w:hanging="161" w:hangingChars="67"/>
                    <w:jc w:val="left"/>
                    <w:rPr>
                      <w:rFonts w:hint="eastAsia" w:ascii="思源黑体" w:hAnsi="思源黑体" w:eastAsia="思源黑体" w:cs="Arial"/>
                      <w:b/>
                      <w:color w:val="000000"/>
                      <w:sz w:val="24"/>
                      <w:szCs w:val="24"/>
                    </w:rPr>
                  </w:pPr>
                </w:p>
                <w:p>
                  <w:pPr>
                    <w:snapToGrid w:val="0"/>
                    <w:spacing w:line="300" w:lineRule="auto"/>
                    <w:ind w:left="141" w:hanging="140" w:hangingChars="67"/>
                    <w:jc w:val="left"/>
                    <w:rPr>
                      <w:rFonts w:hint="eastAsia" w:ascii="思源黑体" w:hAnsi="思源黑体" w:eastAsia="思源黑体" w:cs="Arial"/>
                      <w:bCs/>
                      <w:color w:val="000000"/>
                    </w:rPr>
                  </w:pPr>
                  <w:r>
                    <w:rPr>
                      <w:rFonts w:hint="eastAsia" w:ascii="思源黑体" w:hAnsi="思源黑体" w:eastAsia="思源黑体" w:cs="Arial"/>
                      <w:bCs/>
                      <w:color w:val="000000"/>
                    </w:rPr>
                    <w:t>【钢材】今日，国内钢材期现货市场涨势放缓，市场成交量小幅回升。宏观方面，财政部新闻发布会显示，2023年四季度增发国债的1万亿元资金，大部分于今年使用。今年2月底前，财政部将1万亿元增发国债资金全部下达到地方。基本面方面，南方地区降雨范围扩大，现实需求继续走弱，上周Mysteel钢材库存降幅放缓，表观消费量环比也有小幅回落，需求阶段性见顶预期有所增加。供应端，3月粗钢和生铁日均产量不同程度下降。但由于钢厂阶段性利润的改善，钢厂产能释放意愿继续增强，铁水产量继续呈现回升趋势。同时，近期焦煤价格持续走强，焦炭现货价格第一轮提涨，成本支撑力度有所增加。短期钢材市场建议以区间震荡思路对待，注意回调风险。</w:t>
                  </w:r>
                </w:p>
                <w:p>
                  <w:pPr>
                    <w:snapToGrid w:val="0"/>
                    <w:spacing w:line="300" w:lineRule="auto"/>
                    <w:ind w:left="141" w:hanging="140" w:hangingChars="67"/>
                    <w:jc w:val="left"/>
                    <w:rPr>
                      <w:rFonts w:hint="eastAsia" w:ascii="思源黑体" w:hAnsi="思源黑体" w:eastAsia="思源黑体" w:cs="Arial"/>
                      <w:bCs/>
                      <w:color w:val="000000"/>
                    </w:rPr>
                  </w:pPr>
                </w:p>
                <w:p>
                  <w:pPr>
                    <w:snapToGrid w:val="0"/>
                    <w:spacing w:line="300" w:lineRule="auto"/>
                    <w:ind w:left="141" w:hanging="140" w:hangingChars="67"/>
                    <w:jc w:val="left"/>
                    <w:rPr>
                      <w:rFonts w:hint="eastAsia" w:ascii="思源黑体" w:hAnsi="思源黑体" w:eastAsia="思源黑体" w:cs="Arial"/>
                      <w:bCs/>
                      <w:color w:val="000000"/>
                    </w:rPr>
                  </w:pPr>
                  <w:r>
                    <w:rPr>
                      <w:rFonts w:hint="eastAsia" w:ascii="思源黑体" w:hAnsi="思源黑体" w:eastAsia="思源黑体" w:cs="Arial"/>
                      <w:bCs/>
                      <w:color w:val="000000"/>
                    </w:rPr>
                    <w:t>【铁矿石】今日，铁矿石期现货价格小幅回调。钢厂盈利占比回升，铁水日产量和五大品种成材均有所回升，钢厂补库进程也在延续，但预计5.1长假之后补库进程将有所放缓。供应方面，台风过后，铁矿石发货量有所恢复，本周全球铁矿石发运量环比回升618.1万吨，按发货量推算，后期到港量也将有所回升。操作上建议铁矿石前期多单逢高减持。</w:t>
                  </w:r>
                </w:p>
                <w:p>
                  <w:pPr>
                    <w:snapToGrid w:val="0"/>
                    <w:spacing w:line="300" w:lineRule="auto"/>
                    <w:ind w:left="141" w:hanging="140" w:hangingChars="67"/>
                    <w:jc w:val="left"/>
                    <w:rPr>
                      <w:rFonts w:hint="eastAsia" w:ascii="思源黑体" w:hAnsi="思源黑体" w:eastAsia="思源黑体" w:cs="Arial"/>
                      <w:bCs/>
                      <w:color w:val="000000"/>
                    </w:rPr>
                  </w:pPr>
                </w:p>
                <w:p>
                  <w:pPr>
                    <w:snapToGrid w:val="0"/>
                    <w:spacing w:line="300" w:lineRule="auto"/>
                    <w:ind w:left="141" w:hanging="140" w:hangingChars="67"/>
                    <w:jc w:val="left"/>
                    <w:rPr>
                      <w:rFonts w:hint="default" w:ascii="思源黑体" w:hAnsi="思源黑体" w:eastAsia="思源黑体" w:cs="Arial"/>
                      <w:b w:val="0"/>
                      <w:bCs/>
                      <w:color w:val="000000"/>
                      <w:sz w:val="21"/>
                      <w:szCs w:val="21"/>
                      <w:lang w:val="en-US" w:eastAsia="zh-CN"/>
                    </w:rPr>
                  </w:pPr>
                  <w:r>
                    <w:rPr>
                      <w:rFonts w:hint="eastAsia" w:ascii="思源黑体" w:hAnsi="思源黑体" w:eastAsia="思源黑体" w:cs="Arial"/>
                      <w:bCs/>
                      <w:color w:val="000000"/>
                    </w:rPr>
                    <w:t>【焦炭/焦煤】观点：短期偏强，今日煤焦盘面高位区间震荡，今日焦炭第二轮提涨基本落地。当前宏观助力市场情绪转好，黑色产业链走钢厂复产逻辑，煤焦整体表现偏强。现货方面，焦煤现货有不同程度的涨幅，现货成交有所好转，焦炭第二轮提涨基本落地；供应方面，当前呈国产煤弱供应进口煤给予补充的格局；需求方面，铁水延续增势，对价格形成一定支撑。当前在宏观的推动下，市场情绪较好，需求的边际好转，黑色产业链交易钢厂复产逻辑，预计短期价格有所支撑，但由于盘面升水，短期谨慎追多，需关注后续现货的情况以及需求的增加高度以及宏观推动的情况。</w:t>
                  </w:r>
                </w:p>
                <w:p>
                  <w:pPr>
                    <w:snapToGrid w:val="0"/>
                    <w:spacing w:line="240" w:lineRule="auto"/>
                    <w:jc w:val="left"/>
                    <w:rPr>
                      <w:rFonts w:hint="eastAsia" w:ascii="思源黑体" w:hAnsi="思源黑体" w:eastAsia="思源黑体" w:cs="Arial"/>
                      <w:b/>
                      <w:color w:val="000000"/>
                      <w:sz w:val="24"/>
                      <w:szCs w:val="24"/>
                      <w:lang w:val="en-US" w:eastAsia="zh-CN"/>
                    </w:rPr>
                  </w:pPr>
                </w:p>
                <w:p>
                  <w:pPr>
                    <w:snapToGrid w:val="0"/>
                    <w:spacing w:line="240" w:lineRule="auto"/>
                    <w:jc w:val="left"/>
                    <w:rPr>
                      <w:rFonts w:hint="eastAsia" w:ascii="思源黑体" w:hAnsi="思源黑体" w:eastAsia="思源黑体" w:cs="Arial"/>
                      <w:b/>
                      <w:color w:val="000000"/>
                      <w:sz w:val="24"/>
                      <w:szCs w:val="24"/>
                    </w:rPr>
                  </w:pPr>
                  <w:r>
                    <w:rPr>
                      <w:rFonts w:hint="eastAsia" w:ascii="思源黑体" w:hAnsi="思源黑体" w:eastAsia="思源黑体" w:cs="Arial"/>
                      <w:b/>
                      <w:color w:val="000000"/>
                      <w:sz w:val="24"/>
                      <w:szCs w:val="24"/>
                      <w:lang w:val="en-US" w:eastAsia="zh-CN"/>
                    </w:rPr>
                    <w:t>有</w:t>
                  </w:r>
                  <w:r>
                    <w:rPr>
                      <w:rFonts w:hint="eastAsia" w:ascii="思源黑体" w:hAnsi="思源黑体" w:eastAsia="思源黑体" w:cs="Arial"/>
                      <w:b/>
                      <w:color w:val="000000"/>
                      <w:sz w:val="24"/>
                      <w:szCs w:val="24"/>
                    </w:rPr>
                    <w:t>色金属：以旧换新等利好政策不断推进，消费端仍保持乐观预期</w:t>
                  </w:r>
                </w:p>
                <w:p>
                  <w:pPr>
                    <w:snapToGrid w:val="0"/>
                    <w:spacing w:line="240" w:lineRule="auto"/>
                    <w:jc w:val="left"/>
                    <w:rPr>
                      <w:rFonts w:hint="eastAsia" w:ascii="思源黑体" w:hAnsi="思源黑体" w:eastAsia="思源黑体" w:cs="Arial"/>
                      <w:b/>
                      <w:color w:val="000000"/>
                      <w:sz w:val="24"/>
                      <w:szCs w:val="24"/>
                    </w:rPr>
                  </w:pPr>
                </w:p>
                <w:p>
                  <w:pPr>
                    <w:snapToGrid w:val="0"/>
                    <w:spacing w:line="240" w:lineRule="auto"/>
                    <w:jc w:val="left"/>
                    <w:rPr>
                      <w:rFonts w:hint="eastAsia" w:ascii="思源黑体" w:hAnsi="思源黑体" w:eastAsia="思源黑体" w:cs="Arial"/>
                      <w:color w:val="000000"/>
                      <w:lang w:eastAsia="zh-CN"/>
                    </w:rPr>
                  </w:pPr>
                  <w:r>
                    <w:rPr>
                      <w:rFonts w:hint="eastAsia" w:ascii="思源黑体" w:hAnsi="思源黑体" w:eastAsia="思源黑体" w:cs="Arial"/>
                      <w:color w:val="000000"/>
                    </w:rPr>
                    <w:t>【铝】中东局势骤然升级，俄铝再受英美制裁，加剧了全球金属市场的动荡。美国和英国宣布对俄罗斯铝、铜和镍实施新的交易限制，此举可能会造成全球金属市场动荡。新规定禁止伦敦金属交易所和芝加哥商业交易所接受俄罗斯新生产的金属，4月13日或之后生产的俄罗斯铝、铜和镍都属于被禁之列。</w:t>
                  </w:r>
                  <w:r>
                    <w:rPr>
                      <w:rFonts w:hint="eastAsia" w:ascii="思源黑体" w:hAnsi="思源黑体" w:eastAsia="思源黑体" w:cs="Arial"/>
                      <w:color w:val="000000"/>
                      <w:lang w:val="en-US" w:eastAsia="zh-CN"/>
                    </w:rPr>
                    <w:t>云</w:t>
                  </w:r>
                  <w:r>
                    <w:rPr>
                      <w:rFonts w:hint="eastAsia" w:ascii="思源黑体" w:hAnsi="思源黑体" w:eastAsia="思源黑体" w:cs="Arial"/>
                      <w:color w:val="000000"/>
                    </w:rPr>
                    <w:t>南电力供应的限制和进口窗口的持续关闭，来自供应端的压力相对有限</w:t>
                  </w:r>
                  <w:r>
                    <w:rPr>
                      <w:rFonts w:hint="eastAsia" w:ascii="思源黑体" w:hAnsi="思源黑体" w:eastAsia="思源黑体" w:cs="Arial"/>
                      <w:color w:val="000000"/>
                      <w:lang w:eastAsia="zh-CN"/>
                    </w:rPr>
                    <w:t>。</w:t>
                  </w:r>
                  <w:r>
                    <w:rPr>
                      <w:rFonts w:hint="eastAsia" w:ascii="思源黑体" w:hAnsi="思源黑体" w:eastAsia="思源黑体" w:cs="Arial"/>
                      <w:color w:val="000000"/>
                    </w:rPr>
                    <w:t>截止</w:t>
                  </w:r>
                  <w:r>
                    <w:rPr>
                      <w:rFonts w:hint="eastAsia" w:ascii="思源黑体" w:hAnsi="思源黑体" w:eastAsia="思源黑体" w:cs="Arial"/>
                      <w:color w:val="000000"/>
                      <w:lang w:val="en-US" w:eastAsia="zh-CN"/>
                    </w:rPr>
                    <w:t>4.22</w:t>
                  </w:r>
                  <w:r>
                    <w:rPr>
                      <w:rFonts w:hint="eastAsia" w:ascii="思源黑体" w:hAnsi="思源黑体" w:eastAsia="思源黑体" w:cs="Arial"/>
                      <w:color w:val="000000"/>
                    </w:rPr>
                    <w:t>日铝锭库存</w:t>
                  </w:r>
                  <w:r>
                    <w:rPr>
                      <w:rFonts w:hint="eastAsia" w:ascii="思源黑体" w:hAnsi="思源黑体" w:eastAsia="思源黑体" w:cs="Arial"/>
                      <w:color w:val="000000"/>
                      <w:lang w:val="en-US" w:eastAsia="zh-CN"/>
                    </w:rPr>
                    <w:t>83.1</w:t>
                  </w:r>
                  <w:r>
                    <w:rPr>
                      <w:rFonts w:hint="eastAsia" w:ascii="思源黑体" w:hAnsi="思源黑体" w:eastAsia="思源黑体" w:cs="Arial"/>
                      <w:color w:val="000000"/>
                    </w:rPr>
                    <w:t>万吨，</w:t>
                  </w:r>
                  <w:r>
                    <w:rPr>
                      <w:rFonts w:hint="eastAsia" w:ascii="思源黑体" w:hAnsi="思源黑体" w:eastAsia="思源黑体" w:cs="Arial"/>
                      <w:color w:val="000000"/>
                      <w:lang w:val="en-US" w:eastAsia="zh-CN"/>
                    </w:rPr>
                    <w:t>环比上周降库1.3</w:t>
                  </w:r>
                  <w:r>
                    <w:rPr>
                      <w:rFonts w:hint="eastAsia" w:ascii="思源黑体" w:hAnsi="思源黑体" w:eastAsia="思源黑体" w:cs="Arial"/>
                      <w:color w:val="000000"/>
                    </w:rPr>
                    <w:t>万吨。国内铝加工下游生产能力4月下游开工进入旺季，市场仍有较好预期。短期铝市运行逻辑暂未出现较强反转信号，短期维持偏强震荡为主</w:t>
                  </w:r>
                  <w:r>
                    <w:rPr>
                      <w:rFonts w:hint="eastAsia" w:ascii="思源黑体" w:hAnsi="思源黑体" w:eastAsia="思源黑体" w:cs="Arial"/>
                      <w:color w:val="000000"/>
                      <w:lang w:eastAsia="zh-CN"/>
                    </w:rPr>
                    <w:t>。</w:t>
                  </w:r>
                </w:p>
                <w:p>
                  <w:pPr>
                    <w:snapToGrid w:val="0"/>
                    <w:spacing w:line="240" w:lineRule="auto"/>
                    <w:jc w:val="left"/>
                    <w:rPr>
                      <w:rFonts w:hint="eastAsia" w:ascii="思源黑体" w:hAnsi="思源黑体" w:eastAsia="思源黑体" w:cs="Arial"/>
                      <w:color w:val="000000"/>
                      <w:lang w:eastAsia="zh-CN"/>
                    </w:rPr>
                  </w:pPr>
                </w:p>
                <w:p>
                  <w:pPr>
                    <w:snapToGrid w:val="0"/>
                    <w:spacing w:line="240" w:lineRule="auto"/>
                    <w:jc w:val="left"/>
                    <w:rPr>
                      <w:rFonts w:hint="eastAsia" w:ascii="思源黑体" w:hAnsi="思源黑体" w:eastAsia="思源黑体" w:cs="Arial"/>
                      <w:color w:val="000000"/>
                    </w:rPr>
                  </w:pPr>
                  <w:r>
                    <w:rPr>
                      <w:rFonts w:hint="eastAsia" w:ascii="思源黑体" w:hAnsi="思源黑体" w:eastAsia="思源黑体" w:cs="Arial"/>
                      <w:color w:val="000000"/>
                    </w:rPr>
                    <w:t>【锌】美联储官员频出鹰派言论，为市场降息预期连续降温。4月SMM国产月度加工费再次下调至3700元/吨，进口加工费下调至65美元/吨，锌精矿市场偏紧格局未改，国内炼厂检修增多，全球供给减少确定性增强。截至4月</w:t>
                  </w:r>
                  <w:r>
                    <w:rPr>
                      <w:rFonts w:hint="eastAsia" w:ascii="思源黑体" w:hAnsi="思源黑体" w:eastAsia="思源黑体" w:cs="Arial"/>
                      <w:color w:val="000000"/>
                      <w:lang w:val="en-US" w:eastAsia="zh-CN"/>
                    </w:rPr>
                    <w:t>22</w:t>
                  </w:r>
                  <w:r>
                    <w:rPr>
                      <w:rFonts w:hint="eastAsia" w:ascii="思源黑体" w:hAnsi="思源黑体" w:eastAsia="思源黑体" w:cs="Arial"/>
                      <w:color w:val="000000"/>
                    </w:rPr>
                    <w:t>日，SMM七地锌锭库存总量为2</w:t>
                  </w:r>
                  <w:r>
                    <w:rPr>
                      <w:rFonts w:hint="eastAsia" w:ascii="思源黑体" w:hAnsi="思源黑体" w:eastAsia="思源黑体" w:cs="Arial"/>
                      <w:color w:val="000000"/>
                      <w:lang w:val="en-US" w:eastAsia="zh-CN"/>
                    </w:rPr>
                    <w:t>2.09</w:t>
                  </w:r>
                  <w:r>
                    <w:rPr>
                      <w:rFonts w:hint="eastAsia" w:ascii="思源黑体" w:hAnsi="思源黑体" w:eastAsia="思源黑体" w:cs="Arial"/>
                      <w:color w:val="000000"/>
                    </w:rPr>
                    <w:t>万吨，国内库存周度环比</w:t>
                  </w:r>
                  <w:r>
                    <w:rPr>
                      <w:rFonts w:hint="eastAsia" w:ascii="思源黑体" w:hAnsi="思源黑体" w:eastAsia="思源黑体" w:cs="Arial"/>
                      <w:color w:val="000000"/>
                      <w:lang w:val="en-US" w:eastAsia="zh-CN"/>
                    </w:rPr>
                    <w:t>增加0.32万吨</w:t>
                  </w:r>
                  <w:r>
                    <w:rPr>
                      <w:rFonts w:hint="eastAsia" w:ascii="思源黑体" w:hAnsi="思源黑体" w:eastAsia="思源黑体" w:cs="Arial"/>
                      <w:color w:val="000000"/>
                    </w:rPr>
                    <w:t>。库存表现偏弱，但矿端依旧偏紧</w:t>
                  </w:r>
                  <w:r>
                    <w:rPr>
                      <w:rFonts w:hint="eastAsia" w:ascii="思源黑体" w:hAnsi="思源黑体" w:eastAsia="思源黑体" w:cs="Arial"/>
                      <w:color w:val="000000"/>
                      <w:lang w:eastAsia="zh-CN"/>
                    </w:rPr>
                    <w:t>，预计沪锌晚间维持震荡。</w:t>
                  </w:r>
                  <w:r>
                    <w:rPr>
                      <w:rFonts w:hint="eastAsia" w:ascii="思源黑体" w:hAnsi="思源黑体" w:eastAsia="思源黑体" w:cs="Arial"/>
                      <w:color w:val="000000"/>
                    </w:rPr>
                    <w:br w:type="textWrapping"/>
                  </w:r>
                  <w:r>
                    <w:rPr>
                      <w:rFonts w:hint="eastAsia" w:ascii="思源黑体" w:hAnsi="思源黑体" w:eastAsia="思源黑体" w:cs="Arial"/>
                      <w:color w:val="000000"/>
                    </w:rPr>
                    <w:br w:type="textWrapping"/>
                  </w:r>
                  <w:r>
                    <w:rPr>
                      <w:rFonts w:hint="eastAsia" w:ascii="思源黑体" w:hAnsi="思源黑体" w:eastAsia="思源黑体" w:cs="Arial"/>
                      <w:color w:val="000000"/>
                    </w:rPr>
                    <w:t>【锡】供应端，缅甸锡矿复产时间仍未落地、炼厂开工率维持在高位，海外低库存引发供应担忧。需求端，下游企业开工率在4月有所好转，但在高价格的抑制下，焊料等下游消费仍然疲软。国内社会库存和仓单库存持续攀升。据悉，伦锡库存持仓集中度偏高，导致期价非理性上涨，但当前仍未看到价格有反转迹象，操作上应以短线跟多为主、控制隔夜风险。</w:t>
                  </w:r>
                </w:p>
                <w:p>
                  <w:pPr>
                    <w:snapToGrid w:val="0"/>
                    <w:spacing w:line="240" w:lineRule="auto"/>
                    <w:jc w:val="left"/>
                    <w:rPr>
                      <w:rFonts w:ascii="思源黑体" w:hAnsi="思源黑体" w:eastAsia="思源黑体" w:cs="Arial"/>
                      <w:color w:val="000000"/>
                    </w:rPr>
                  </w:pPr>
                </w:p>
                <w:p>
                  <w:pPr>
                    <w:snapToGrid w:val="0"/>
                    <w:spacing w:line="240" w:lineRule="auto"/>
                    <w:jc w:val="left"/>
                    <w:rPr>
                      <w:rFonts w:ascii="思源黑体" w:hAnsi="思源黑体" w:eastAsia="思源黑体" w:cs="Arial"/>
                      <w:color w:val="000000"/>
                    </w:rPr>
                  </w:pPr>
                </w:p>
                <w:p>
                  <w:pPr>
                    <w:snapToGrid w:val="0"/>
                    <w:spacing w:line="300" w:lineRule="auto"/>
                    <w:ind w:left="161" w:hanging="161" w:hangingChars="67"/>
                    <w:jc w:val="left"/>
                    <w:rPr>
                      <w:rFonts w:ascii="思源黑体" w:hAnsi="思源黑体" w:eastAsia="思源黑体" w:cs="Arial"/>
                      <w:b/>
                      <w:color w:val="000000"/>
                      <w:sz w:val="24"/>
                      <w:szCs w:val="24"/>
                    </w:rPr>
                  </w:pPr>
                  <w:r>
                    <w:rPr>
                      <w:rFonts w:hint="eastAsia" w:ascii="思源黑体" w:hAnsi="思源黑体" w:eastAsia="思源黑体" w:cs="Arial"/>
                      <w:b/>
                      <w:color w:val="000000"/>
                      <w:sz w:val="24"/>
                      <w:szCs w:val="24"/>
                    </w:rPr>
                    <w:t>能源化工：中东局势减弱与技术支撑位角力，油价小幅下挫</w:t>
                  </w:r>
                </w:p>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【原油】由于中东冲突升级的新迹象有限，油价走低，但技术支撑位也限制了跌幅，油价徘徊在月度低点上方。不过随着美国国会推进制裁伊朗石油部门的行动，并且以色列和伊朗之间的冲突仍然 紧张，油价可能会继续大幅波动。本周需关注一系列美国经济数据，包括通胀指标，这将为货币政策提供更多线索。。</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41" w:hanging="140" w:hangingChars="67"/>
                    <w:jc w:val="left"/>
                    <w:rPr>
                      <w:rFonts w:ascii="思源黑体" w:hAnsi="思源黑体" w:eastAsia="思源黑体" w:cs="Arial"/>
                      <w:bCs/>
                      <w:color w:val="000000"/>
                    </w:rPr>
                  </w:pPr>
                  <w:r>
                    <w:rPr>
                      <w:rFonts w:hint="eastAsia" w:ascii="思源黑体" w:hAnsi="思源黑体" w:eastAsia="思源黑体" w:cs="Arial"/>
                      <w:bCs/>
                      <w:color w:val="000000"/>
                    </w:rPr>
                    <w:t>【沥青】原油成本总体抬高，但沥青下游需求仍然一般，总体刚需仍然寡淡，以入库需求为主，南方需求同样疲软。另外近期炼厂开工恢复明显，总体排产仍可能会有明显的增加。社会库存去化程度较低，因此难以验证后期需求情况，后期沥青需求仍然处在等待验证阶段。在此情况下，沥青继续走高幅度将会较为有限。</w:t>
                  </w:r>
                </w:p>
                <w:p>
                  <w:pPr>
                    <w:snapToGrid w:val="0"/>
                    <w:spacing w:line="300" w:lineRule="auto"/>
                    <w:ind w:left="141" w:hanging="140" w:hangingChars="67"/>
                    <w:jc w:val="left"/>
                    <w:rPr>
                      <w:rFonts w:ascii="思源黑体" w:hAnsi="思源黑体" w:eastAsia="思源黑体" w:cs="Arial"/>
                      <w:bCs/>
                      <w:color w:val="000000"/>
                    </w:rPr>
                  </w:pPr>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PTA】PTA振幅一般，主要跟随原油以及PX进行波动。终端开机小幅下调，订单数量走低，下游压力逐渐传导。但近期大装置检修挺价仍有效果，基差得以维持，盘面回调幅度受限。不过后续仍然需要看到需求端的真正回复，否则PTA缓慢有限走弱的基调难改。</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乙二醇】在原油带动乙二醇波动之外，乙二醇较少有自己的行情，整体维持80个点以内波幅。短期到港有所增加，抵消了库存的小幅去化，叠加下游近期弱势影响，05预计将难有真正上行态势，09在4480以下仍有做多价值。</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甲醇】内地检修放量，开工下行。港口进口略有减少，以及绝对库存偏低，伊朗商谈，临近纸货交割等问题发酵，现货走强。带动期货短期突破，但MTO利润恶化，上行空间受阻，关注内地装置检修及港口到货情况。</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聚丙烯】原油价格偏强，成本支撑明显，投产推迟，检修量维持中性偏高。下游开工略降，订单平稳跟进有限。中上游小幅去库，成品库存偏高，小幅下降。供需矛盾不突出，盘面驱动有限，或随原油被动偏强。</w:t>
                  </w:r>
                </w:p>
                <w:p>
                  <w:pPr>
                    <w:snapToGrid w:val="0"/>
                    <w:spacing w:line="300" w:lineRule="auto"/>
                    <w:ind w:left="141" w:hanging="140" w:hangingChars="67"/>
                    <w:rPr>
                      <w:rFonts w:ascii="思源黑体" w:hAnsi="思源黑体" w:eastAsia="思源黑体" w:cs="Arial"/>
                      <w:bCs/>
                      <w:color w:val="000000"/>
                    </w:rPr>
                  </w:pPr>
                </w:p>
                <w:p>
                  <w:pPr>
                    <w:snapToGrid w:val="0"/>
                    <w:spacing w:line="300" w:lineRule="auto"/>
                    <w:ind w:left="141" w:hanging="140" w:hangingChars="67"/>
                    <w:rPr>
                      <w:rFonts w:ascii="思源黑体" w:hAnsi="思源黑体" w:eastAsia="思源黑体" w:cs="Arial"/>
                      <w:bCs/>
                      <w:color w:val="000000"/>
                    </w:rPr>
                  </w:pPr>
                  <w:r>
                    <w:rPr>
                      <w:rFonts w:hint="eastAsia" w:ascii="思源黑体" w:hAnsi="思源黑体" w:eastAsia="思源黑体" w:cs="Arial"/>
                      <w:bCs/>
                      <w:color w:val="000000"/>
                    </w:rPr>
                    <w:t>【塑料】塑料供应端下降明显，需求同样大幅走弱。节前产量或继续走低，且节前部分下游有补库需求，产业库存以消耗为主。单边价格震荡。</w:t>
                  </w:r>
                </w:p>
                <w:p>
                  <w:pPr>
                    <w:snapToGrid w:val="0"/>
                    <w:spacing w:line="240" w:lineRule="auto"/>
                    <w:jc w:val="left"/>
                    <w:rPr>
                      <w:rFonts w:ascii="思源黑体" w:hAnsi="思源黑体" w:eastAsia="思源黑体" w:cs="Arial"/>
                      <w:color w:val="000000"/>
                    </w:rPr>
                  </w:pPr>
                </w:p>
                <w:p>
                  <w:pPr>
                    <w:snapToGrid w:val="0"/>
                    <w:spacing w:line="300" w:lineRule="auto"/>
                    <w:ind w:left="161" w:hanging="161" w:hangingChars="67"/>
                    <w:jc w:val="left"/>
                    <w:rPr>
                      <w:rFonts w:hint="default" w:ascii="思源黑体" w:hAnsi="思源黑体" w:eastAsia="思源黑体" w:cs="Arial"/>
                      <w:b/>
                      <w:color w:val="000000"/>
                      <w:sz w:val="24"/>
                      <w:szCs w:val="24"/>
                      <w:lang w:val="en-US" w:eastAsia="zh-CN"/>
                    </w:rPr>
                  </w:pPr>
                  <w:r>
                    <w:rPr>
                      <w:rFonts w:hint="eastAsia" w:ascii="思源黑体" w:hAnsi="思源黑体" w:eastAsia="思源黑体" w:cs="Arial"/>
                      <w:b/>
                      <w:color w:val="000000"/>
                      <w:sz w:val="24"/>
                      <w:szCs w:val="24"/>
                    </w:rPr>
                    <w:t>农产品：</w:t>
                  </w:r>
                  <w:r>
                    <w:rPr>
                      <w:rFonts w:hint="eastAsia" w:ascii="思源黑体" w:hAnsi="思源黑体" w:eastAsia="思源黑体" w:cs="Arial"/>
                      <w:b/>
                      <w:color w:val="000000"/>
                      <w:sz w:val="24"/>
                      <w:szCs w:val="24"/>
                      <w:lang w:val="en-US" w:eastAsia="zh-CN"/>
                    </w:rPr>
                    <w:t>生猪市场风险扩散，盘面套保卖压有望增加</w:t>
                  </w:r>
                </w:p>
                <w:p>
                  <w:pPr>
                    <w:snapToGrid w:val="0"/>
                    <w:spacing w:line="300" w:lineRule="auto"/>
                    <w:jc w:val="left"/>
                    <w:rPr>
                      <w:rFonts w:ascii="思源黑体" w:hAnsi="思源黑体" w:eastAsia="思源黑体" w:cs="Arial"/>
                      <w:b/>
                      <w:color w:val="000000"/>
                      <w:sz w:val="24"/>
                      <w:szCs w:val="24"/>
                    </w:rPr>
                  </w:pPr>
                </w:p>
                <w:p>
                  <w:pPr>
                    <w:snapToGrid w:val="0"/>
                    <w:spacing w:line="300" w:lineRule="auto"/>
                    <w:rPr>
                      <w:rFonts w:hint="eastAsia" w:ascii="思源黑体" w:hAnsi="思源黑体" w:eastAsia="思源黑体" w:cs="Arial"/>
                      <w:bCs/>
                      <w:color w:val="000000"/>
                    </w:rPr>
                  </w:pPr>
                  <w:r>
                    <w:rPr>
                      <w:rFonts w:hint="eastAsia" w:ascii="思源黑体" w:hAnsi="思源黑体" w:eastAsia="思源黑体" w:cs="Arial"/>
                      <w:bCs/>
                      <w:color w:val="000000"/>
                    </w:rPr>
                    <w:t>【美豆】基于丰产压力及出口疲软、压榨进入季节性淡季的事实，短期美豆或维持区间偏弱运行，但1150美分/蒲价格在新季供需形势明朗之前，具有较强的成本支撑意义。近期国外通胀预期交易回归，且后期天气行情不缺性高，后期CBOT大豆净空压力可能会减轻。</w:t>
                  </w:r>
                </w:p>
                <w:p>
                  <w:pPr>
                    <w:snapToGrid w:val="0"/>
                    <w:spacing w:line="300" w:lineRule="auto"/>
                    <w:rPr>
                      <w:rFonts w:hint="eastAsia" w:ascii="思源黑体" w:hAnsi="思源黑体" w:eastAsia="思源黑体" w:cs="Arial"/>
                      <w:bCs/>
                      <w:color w:val="000000"/>
                    </w:rPr>
                  </w:pPr>
                </w:p>
                <w:p>
                  <w:pPr>
                    <w:pStyle w:val="12"/>
                    <w:widowControl/>
                    <w:spacing w:beforeAutospacing="0" w:afterAutospacing="0"/>
                    <w:textAlignment w:val="center"/>
                    <w:rPr>
                      <w:rFonts w:ascii="思源黑体" w:hAnsi="思源黑体" w:eastAsia="思源黑体" w:cs="Arial"/>
                      <w:bCs/>
                      <w:color w:val="000000"/>
                      <w:kern w:val="2"/>
                      <w:sz w:val="21"/>
                    </w:rPr>
                  </w:pPr>
                  <w:r>
                    <w:rPr>
                      <w:rFonts w:hint="eastAsia" w:ascii="思源黑体" w:hAnsi="思源黑体" w:eastAsia="思源黑体" w:cs="Arial"/>
                      <w:bCs/>
                      <w:color w:val="000000"/>
                      <w:kern w:val="2"/>
                      <w:sz w:val="21"/>
                    </w:rPr>
                    <w:t>【豆粕】油厂大豆及豆粕供应季节性宽松预期不变，但豆粕成本成本估值偏低，且豆油价格会回落，油厂挺粕意愿较强。后期美豆逐步进入新季播种期，预期天气升水回升或强化豆粕成本支撑逻辑。</w:t>
                  </w:r>
                </w:p>
                <w:p>
                  <w:pPr>
                    <w:snapToGrid w:val="0"/>
                    <w:spacing w:line="300" w:lineRule="auto"/>
                    <w:jc w:val="left"/>
                    <w:rPr>
                      <w:rFonts w:ascii="思源黑体" w:hAnsi="思源黑体" w:eastAsia="思源黑体" w:cs="Arial"/>
                      <w:bCs/>
                      <w:color w:val="000000"/>
                    </w:rPr>
                  </w:pPr>
                </w:p>
                <w:p>
                  <w:pPr>
                    <w:snapToGrid w:val="0"/>
                    <w:spacing w:line="300" w:lineRule="auto"/>
                    <w:rPr>
                      <w:rFonts w:hint="eastAsia" w:ascii="思源黑体" w:hAnsi="思源黑体" w:eastAsia="思源黑体" w:cs="Arial"/>
                      <w:bCs/>
                      <w:color w:val="000000"/>
                    </w:rPr>
                  </w:pPr>
                  <w:r>
                    <w:rPr>
                      <w:rFonts w:hint="eastAsia" w:ascii="思源黑体" w:hAnsi="思源黑体" w:eastAsia="思源黑体" w:cs="Arial"/>
                      <w:bCs/>
                      <w:color w:val="000000"/>
                    </w:rPr>
                    <w:t>【菜粕】油厂进口菜籽和菜粕库存不高，今年水产投料谨慎，但等5月水温稳定，还要要投料的。菜粕近月供应风险不大，远月进口利润较好，且加拿大菜籽丰产预期不变，虽缺乏独立行情基础，但高持仓下波动或增加。</w:t>
                  </w:r>
                </w:p>
                <w:p>
                  <w:pPr>
                    <w:snapToGrid w:val="0"/>
                    <w:spacing w:line="300" w:lineRule="auto"/>
                    <w:rPr>
                      <w:rFonts w:hint="eastAsia" w:ascii="思源黑体" w:hAnsi="思源黑体" w:eastAsia="思源黑体" w:cs="Arial"/>
                      <w:bCs/>
                      <w:color w:val="000000"/>
                    </w:rPr>
                  </w:pPr>
                  <w:r>
                    <w:rPr>
                      <w:rFonts w:hint="eastAsia" w:ascii="思源黑体" w:hAnsi="思源黑体" w:eastAsia="思源黑体" w:cs="Arial"/>
                      <w:bCs/>
                      <w:color w:val="000000"/>
                    </w:rPr>
                    <w:br w:type="textWrapping"/>
                  </w:r>
                  <w:r>
                    <w:rPr>
                      <w:rFonts w:hint="eastAsia" w:ascii="思源黑体" w:hAnsi="思源黑体" w:eastAsia="思源黑体" w:cs="Arial"/>
                      <w:bCs/>
                      <w:color w:val="000000"/>
                    </w:rPr>
                    <w:t>【豆油】近月棕榈油价格回落，豆油缺乏基本面支撑同步下跌。豆油同期高库存+弱基差+未来季节性增库趋势强，后期或依然受棕榈油价格指引偏弱调整为主。</w:t>
                  </w:r>
                </w:p>
                <w:p>
                  <w:pPr>
                    <w:snapToGrid w:val="0"/>
                    <w:spacing w:line="300" w:lineRule="auto"/>
                    <w:rPr>
                      <w:rFonts w:ascii="思源黑体" w:hAnsi="思源黑体" w:eastAsia="思源黑体" w:cs="Arial"/>
                      <w:bCs/>
                      <w:color w:val="000000"/>
                    </w:rPr>
                  </w:pPr>
                </w:p>
                <w:p>
                  <w:pPr>
                    <w:snapToGrid w:val="0"/>
                    <w:spacing w:line="300" w:lineRule="auto"/>
                    <w:rPr>
                      <w:rFonts w:ascii="思源黑体" w:hAnsi="思源黑体" w:eastAsia="思源黑体" w:cs="Arial"/>
                      <w:bCs/>
                      <w:color w:val="000000"/>
                    </w:rPr>
                  </w:pPr>
                  <w:r>
                    <w:rPr>
                      <w:rFonts w:hint="eastAsia" w:ascii="思源黑体" w:hAnsi="思源黑体" w:eastAsia="思源黑体" w:cs="Arial"/>
                      <w:bCs/>
                      <w:color w:val="000000"/>
                    </w:rPr>
                    <w:t>【棕榈油】马来西亚棕榈油库存超预期下跌至10个月以来的低位，进入4月出口维持环比增量，产量恢复依然受限，马来棕榈油强现实弱预期结构不变，目前主要受相关油料油脂价格影响下跌。国内进口利润稍改善，远月买船兴趣增加，且现实受需求疲软影响，价格承压明显。后期关注油料价格行情及产地产量恢复情况。</w:t>
                  </w:r>
                </w:p>
                <w:p>
                  <w:pPr>
                    <w:snapToGrid w:val="0"/>
                    <w:spacing w:line="300" w:lineRule="auto"/>
                    <w:rPr>
                      <w:rFonts w:ascii="思源黑体" w:hAnsi="思源黑体" w:eastAsia="思源黑体" w:cs="Arial"/>
                      <w:bCs/>
                      <w:color w:val="000000"/>
                    </w:rPr>
                  </w:pPr>
                </w:p>
                <w:p>
                  <w:pPr>
                    <w:snapToGrid w:val="0"/>
                    <w:spacing w:line="300" w:lineRule="auto"/>
                    <w:rPr>
                      <w:rFonts w:hint="eastAsia" w:ascii="思源黑体" w:hAnsi="思源黑体" w:eastAsia="思源黑体" w:cs="Arial"/>
                      <w:bCs/>
                      <w:color w:val="000000"/>
                    </w:rPr>
                  </w:pPr>
                  <w:r>
                    <w:rPr>
                      <w:rFonts w:hint="eastAsia" w:ascii="思源黑体" w:hAnsi="思源黑体" w:eastAsia="思源黑体" w:cs="Arial"/>
                      <w:bCs/>
                      <w:color w:val="000000"/>
                    </w:rPr>
                    <w:t>【菜油】菜油供需宽松环境不变，基差偏弱。棕榈油高位回落，菜棕09价差有所修复。目前豆菜油需求季节性回暖迹象存在，但供应无忧，短期价差上涨空间有限。</w:t>
                  </w:r>
                </w:p>
                <w:p>
                  <w:pPr>
                    <w:snapToGrid w:val="0"/>
                    <w:spacing w:line="300" w:lineRule="auto"/>
                    <w:jc w:val="left"/>
                    <w:rPr>
                      <w:rFonts w:ascii="思源黑体" w:hAnsi="思源黑体" w:eastAsia="思源黑体" w:cs="Arial"/>
                      <w:bCs/>
                      <w:color w:val="000000"/>
                    </w:rPr>
                  </w:pPr>
                </w:p>
                <w:p>
                  <w:pPr>
                    <w:snapToGrid w:val="0"/>
                    <w:spacing w:line="300" w:lineRule="auto"/>
                    <w:rPr>
                      <w:rFonts w:hint="eastAsia" w:ascii="思源黑体" w:hAnsi="思源黑体" w:eastAsia="思源黑体" w:cs="Arial"/>
                      <w:bCs/>
                      <w:color w:val="000000"/>
                    </w:rPr>
                  </w:pPr>
                  <w:r>
                    <w:rPr>
                      <w:rFonts w:hint="eastAsia" w:ascii="思源黑体" w:hAnsi="思源黑体" w:eastAsia="思源黑体" w:cs="Arial"/>
                      <w:bCs/>
                      <w:color w:val="000000"/>
                    </w:rPr>
                    <w:t>【玉米】贸易商出货心态分化，但整体粮源仍处于供大于求状态；深加工库存高位，加工利润持续下降，后期维持按需采购，整体需求仍偏弱。市场心态主要受各地粮库收购影响，多空持续博弈，价格维持震荡运行。</w:t>
                  </w:r>
                </w:p>
                <w:p>
                  <w:pPr>
                    <w:snapToGrid w:val="0"/>
                    <w:spacing w:line="300" w:lineRule="auto"/>
                    <w:rPr>
                      <w:rFonts w:ascii="思源黑体" w:hAnsi="思源黑体" w:eastAsia="思源黑体" w:cs="Arial"/>
                      <w:bCs/>
                      <w:color w:val="000000"/>
                    </w:rPr>
                  </w:pPr>
                </w:p>
                <w:p>
                  <w:pPr>
                    <w:snapToGrid w:val="0"/>
                    <w:spacing w:line="300" w:lineRule="auto"/>
                    <w:rPr>
                      <w:rFonts w:ascii="思源黑体" w:hAnsi="思源黑体" w:eastAsia="思源黑体" w:cs="Arial"/>
                      <w:color w:val="000000"/>
                    </w:rPr>
                  </w:pPr>
                  <w:r>
                    <w:rPr>
                      <w:rFonts w:hint="eastAsia" w:ascii="思源黑体" w:hAnsi="思源黑体" w:eastAsia="思源黑体" w:cs="Arial"/>
                      <w:bCs/>
                      <w:color w:val="000000"/>
                    </w:rPr>
                    <w:t>【生猪】周末消费略见回暖，但整体需求疲软状态不变，节日订单消费预期转差；供应方面，集团厂缩量扛价现象还是比较明显的，生猪现货大体再供需双弱状态下弱稳。目前生猪市场压力来自前期较为普遍的压栏，滞后的供应压力与不及预期的需求发生错配。后期集团厂大概率会继续挺价，直到将风险逐步转移到二育肥或挺到需求改善。预计短期盘面的套保卖压会增加。</w:t>
                  </w:r>
                </w:p>
              </w:tc>
            </w:tr>
          </w:tbl>
          <w:p>
            <w:pPr>
              <w:pStyle w:val="27"/>
              <w:numPr>
                <w:ilvl w:val="0"/>
                <w:numId w:val="0"/>
              </w:numPr>
              <w:spacing w:before="156" w:beforeLines="50" w:after="156" w:line="240" w:lineRule="auto"/>
              <w:ind w:left="141" w:leftChars="67"/>
              <w:rPr>
                <w:b/>
                <w:bCs/>
              </w:rPr>
            </w:pPr>
          </w:p>
        </w:tc>
      </w:tr>
    </w:tbl>
    <w:p>
      <w:pPr>
        <w:pStyle w:val="28"/>
        <w:spacing w:line="14" w:lineRule="exact"/>
        <w:rPr>
          <w:rFonts w:ascii="思源黑体" w:hAnsi="思源黑体" w:eastAsia="思源黑体"/>
        </w:rPr>
        <w:sectPr>
          <w:headerReference r:id="rId4" w:type="first"/>
          <w:footerReference r:id="rId6" w:type="first"/>
          <w:headerReference r:id="rId3" w:type="default"/>
          <w:footerReference r:id="rId5" w:type="default"/>
          <w:pgSz w:w="11906" w:h="16838"/>
          <w:pgMar w:top="57" w:right="454" w:bottom="851" w:left="1247" w:header="851" w:footer="851" w:gutter="0"/>
          <w:cols w:space="425" w:num="1"/>
          <w:titlePg/>
          <w:docGrid w:type="lines" w:linePitch="312" w:charSpace="0"/>
        </w:sectPr>
      </w:pPr>
    </w:p>
    <w:p>
      <w:pPr>
        <w:pStyle w:val="9"/>
        <w:pageBreakBefore/>
        <w:widowControl w:val="0"/>
        <w:spacing w:before="156" w:beforeLines="50" w:after="40" w:line="540" w:lineRule="auto"/>
        <w:ind w:firstLine="420"/>
        <w:rPr>
          <w:rFonts w:ascii="思源黑体" w:hAnsi="思源黑体" w:eastAsia="思源黑体"/>
          <w:b/>
          <w:bCs/>
          <w:color w:val="D70C25"/>
          <w:sz w:val="24"/>
          <w:szCs w:val="22"/>
        </w:rPr>
      </w:pPr>
      <w:r>
        <w:rPr>
          <w:rFonts w:hint="eastAsia" w:ascii="思源黑体" w:hAnsi="思源黑体" w:eastAsia="思源黑体"/>
          <w:b/>
          <w:bCs/>
          <w:color w:val="D70C25"/>
          <w:sz w:val="24"/>
          <w:szCs w:val="22"/>
        </w:rPr>
        <w:t>重要声明</w:t>
      </w:r>
    </w:p>
    <w:p>
      <w:pPr>
        <w:pStyle w:val="9"/>
        <w:spacing w:line="480" w:lineRule="auto"/>
        <w:ind w:firstLine="897" w:firstLineChars="374"/>
        <w:rPr>
          <w:rFonts w:ascii="思源黑体" w:hAnsi="思源黑体" w:eastAsia="思源黑体"/>
          <w:sz w:val="24"/>
          <w:szCs w:val="24"/>
        </w:rPr>
      </w:pPr>
      <w:r>
        <w:rPr>
          <w:rFonts w:hint="eastAsia" w:ascii="思源黑体" w:hAnsi="思源黑体" w:eastAsia="思源黑体"/>
          <w:sz w:val="24"/>
          <w:szCs w:val="24"/>
        </w:rPr>
        <w:t>本报告由东海期货有限责任公司研究所团队完成，报告中信息均源于公开可获得资料。东海期货力求报告内容的客观、公正，但对这些信息的准确性及完整性不做任何保证，也不保证所包含的信息和建议不会发生任何变更。报告中的观点、结论和建议等全部内容只提供给客户做参考之用，并不构成对客户的投资建议，也未考虑个别客户特殊的投资目标、财务状况或需要，客户不应单纯依靠本报告而取代个人的独立判断。在任何情况下，本公司不对任何人因使用本报告中的任何内容所导致的任何损失负任何责任，交易者需自行承担风险。本报告版权仅为东海期货有限责任公司研究所所有，未经书面许可，任何机构和个人不得以任何形式翻版、复制发布，如引用、转载、刊发，须注明出处为东海期货有限责任公司。</w:t>
      </w:r>
    </w:p>
    <w:p>
      <w:pPr>
        <w:pStyle w:val="9"/>
        <w:spacing w:line="480" w:lineRule="auto"/>
        <w:ind w:firstLine="480" w:firstLineChars="200"/>
        <w:rPr>
          <w:rFonts w:ascii="思源黑体" w:hAnsi="思源黑体" w:eastAsia="思源黑体"/>
          <w:sz w:val="24"/>
          <w:szCs w:val="24"/>
        </w:rPr>
      </w:pPr>
    </w:p>
    <w:p>
      <w:pPr>
        <w:pStyle w:val="9"/>
        <w:spacing w:line="276" w:lineRule="auto"/>
        <w:ind w:firstLine="400" w:firstLineChars="200"/>
        <w:rPr>
          <w:rFonts w:ascii="思源黑体" w:hAnsi="思源黑体" w:eastAsia="思源黑体"/>
          <w:szCs w:val="20"/>
        </w:rPr>
      </w:pPr>
    </w:p>
    <w:tbl>
      <w:tblPr>
        <w:tblStyle w:val="14"/>
        <w:tblW w:w="53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170" w:type="dxa"/>
        </w:tblCellMar>
      </w:tblPr>
      <w:tblGrid>
        <w:gridCol w:w="53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9"/>
              <w:autoSpaceDE w:val="0"/>
              <w:autoSpaceDN w:val="0"/>
              <w:rPr>
                <w:rFonts w:ascii="思源黑体" w:hAnsi="思源黑体" w:eastAsia="思源黑体"/>
                <w:b/>
                <w:bCs/>
                <w:color w:val="D70C25"/>
              </w:rPr>
            </w:pPr>
            <w:r>
              <w:rPr>
                <w:rFonts w:hint="eastAsia" w:ascii="思源黑体" w:hAnsi="思源黑体" w:eastAsia="思源黑体"/>
                <w:b/>
                <w:bCs/>
                <w:color w:val="C00000"/>
              </w:rPr>
              <w:t>东海期货有限责任公司研究所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rPr>
          <w:trHeight w:val="235" w:hRule="atLeast"/>
        </w:trPr>
        <w:tc>
          <w:tcPr>
            <w:tcW w:w="5386" w:type="dxa"/>
          </w:tcPr>
          <w:p>
            <w:pPr>
              <w:pStyle w:val="9"/>
              <w:autoSpaceDE w:val="0"/>
              <w:autoSpaceDN w:val="0"/>
              <w:rPr>
                <w:rFonts w:ascii="思源黑体" w:hAnsi="思源黑体" w:eastAsia="思源黑体"/>
              </w:rPr>
            </w:pPr>
            <w:r>
              <w:rPr>
                <w:rFonts w:hint="eastAsia" w:ascii="思源黑体" w:hAnsi="思源黑体" w:eastAsia="思源黑体"/>
              </w:rPr>
              <w:t>地址：上海浦东新区峨山路505号东方纯一大厦10楼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9"/>
              <w:autoSpaceDE w:val="0"/>
              <w:autoSpaceDN w:val="0"/>
              <w:rPr>
                <w:rFonts w:ascii="思源黑体" w:hAnsi="思源黑体" w:eastAsia="思源黑体"/>
              </w:rPr>
            </w:pPr>
            <w:r>
              <w:rPr>
                <w:rFonts w:hint="eastAsia" w:ascii="思源黑体" w:hAnsi="思源黑体" w:eastAsia="思源黑体"/>
              </w:rPr>
              <w:t>联系人：贾利军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9"/>
              <w:autoSpaceDE w:val="0"/>
              <w:autoSpaceDN w:val="0"/>
              <w:rPr>
                <w:rFonts w:ascii="思源黑体" w:hAnsi="思源黑体" w:eastAsia="思源黑体"/>
              </w:rPr>
            </w:pPr>
            <w:r>
              <w:rPr>
                <w:rFonts w:hint="eastAsia" w:ascii="思源黑体" w:hAnsi="思源黑体" w:eastAsia="思源黑体"/>
              </w:rPr>
              <w:t>电话：021-68757181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9"/>
              <w:autoSpaceDE w:val="0"/>
              <w:autoSpaceDN w:val="0"/>
              <w:rPr>
                <w:rFonts w:ascii="思源黑体" w:hAnsi="思源黑体" w:eastAsia="思源黑体"/>
              </w:rPr>
            </w:pPr>
            <w:r>
              <w:rPr>
                <w:rFonts w:hint="eastAsia" w:ascii="思源黑体" w:hAnsi="思源黑体" w:eastAsia="思源黑体"/>
              </w:rPr>
              <w:t>网址：www.qh168.com.cn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9"/>
              <w:autoSpaceDE w:val="0"/>
              <w:autoSpaceDN w:val="0"/>
              <w:rPr>
                <w:rFonts w:ascii="思源黑体" w:hAnsi="思源黑体" w:eastAsia="思源黑体"/>
              </w:rPr>
            </w:pPr>
            <w:r>
              <w:rPr>
                <w:rFonts w:hint="eastAsia" w:ascii="思源黑体" w:hAnsi="思源黑体" w:eastAsia="思源黑体"/>
              </w:rPr>
              <w:t>E-MAIL:Jialj@qh168.com.cn</w:t>
            </w:r>
          </w:p>
        </w:tc>
      </w:tr>
    </w:tbl>
    <w:p>
      <w:pPr>
        <w:tabs>
          <w:tab w:val="left" w:pos="4672"/>
        </w:tabs>
        <w:rPr>
          <w:rFonts w:ascii="思源黑体" w:hAnsi="思源黑体" w:eastAsia="思源黑体"/>
          <w:color w:val="000000"/>
          <w:sz w:val="20"/>
        </w:rPr>
      </w:pPr>
    </w:p>
    <w:sectPr>
      <w:headerReference r:id="rId7" w:type="default"/>
      <w:pgSz w:w="11906" w:h="16838"/>
      <w:pgMar w:top="1134" w:right="567" w:bottom="851" w:left="567" w:header="850"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兰亭圆简体">
    <w:altName w:val="微软雅黑"/>
    <w:panose1 w:val="00000000000000000000"/>
    <w:charset w:val="86"/>
    <w:family w:val="auto"/>
    <w:pitch w:val="default"/>
    <w:sig w:usb0="00000000" w:usb1="00000000" w:usb2="00000012" w:usb3="00000000" w:csb0="00040001" w:csb1="00000000"/>
  </w:font>
  <w:font w:name="思源黑体">
    <w:altName w:val="宋体"/>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思源黑体">
    <w:altName w:val="宋体"/>
    <w:panose1 w:val="020B0500000000000000"/>
    <w:charset w:val="86"/>
    <w:family w:val="swiss"/>
    <w:pitch w:val="default"/>
    <w:sig w:usb0="00000000" w:usb1="00000000" w:usb2="00000016" w:usb3="00000000" w:csb0="002E0107"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0" distR="0" simplePos="0" relativeHeight="251662336" behindDoc="1" locked="0" layoutInCell="1" allowOverlap="1">
              <wp:simplePos x="0" y="0"/>
              <wp:positionH relativeFrom="page">
                <wp:posOffset>318770</wp:posOffset>
              </wp:positionH>
              <wp:positionV relativeFrom="paragraph">
                <wp:posOffset>231140</wp:posOffset>
              </wp:positionV>
              <wp:extent cx="6947535" cy="244475"/>
              <wp:effectExtent l="0" t="0" r="5715" b="3175"/>
              <wp:wrapNone/>
              <wp:docPr id="4102" name="文本框 2"/>
              <wp:cNvGraphicFramePr/>
              <a:graphic xmlns:a="http://schemas.openxmlformats.org/drawingml/2006/main">
                <a:graphicData uri="http://schemas.microsoft.com/office/word/2010/wordprocessingShape">
                  <wps:wsp>
                    <wps:cNvSpPr/>
                    <wps:spPr>
                      <a:xfrm>
                        <a:off x="0" y="0"/>
                        <a:ext cx="6947535" cy="244475"/>
                      </a:xfrm>
                      <a:prstGeom prst="rect">
                        <a:avLst/>
                      </a:prstGeom>
                      <a:ln>
                        <a:noFill/>
                      </a:ln>
                    </wps:spPr>
                    <wps:txbx>
                      <w:txbxContent>
                        <w:tbl>
                          <w:tblPr>
                            <w:tblStyle w:val="14"/>
                            <w:tblW w:w="18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45"/>
                            <w:gridCol w:w="3119"/>
                            <w:gridCol w:w="2568"/>
                            <w:gridCol w:w="3644"/>
                            <w:gridCol w:w="3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245" w:type="dxa"/>
                                <w:vAlign w:val="center"/>
                              </w:tcPr>
                              <w:p>
                                <w:pPr>
                                  <w:pStyle w:val="28"/>
                                  <w:rPr>
                                    <w:rFonts w:ascii="Arial" w:hAnsi="Arial"/>
                                    <w:b/>
                                    <w:sz w:val="16"/>
                                  </w:rPr>
                                </w:pPr>
                                <w:r>
                                  <w:rPr>
                                    <w:rFonts w:ascii="Arial" w:hAnsi="Arial"/>
                                    <w:b/>
                                    <w:sz w:val="16"/>
                                  </w:rPr>
                                  <w:t>HTTP://WWW.QH168.COM.CN</w:t>
                                </w:r>
                              </w:p>
                            </w:tc>
                            <w:tc>
                              <w:tcPr>
                                <w:tcW w:w="3119" w:type="dxa"/>
                                <w:vAlign w:val="center"/>
                              </w:tcPr>
                              <w:p>
                                <w:pPr>
                                  <w:pStyle w:val="28"/>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3</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6</w:t>
                                </w:r>
                                <w:r>
                                  <w:rPr>
                                    <w:rFonts w:ascii="Arial" w:hAnsi="Arial"/>
                                    <w:b/>
                                    <w:bCs/>
                                    <w:sz w:val="16"/>
                                  </w:rPr>
                                  <w:fldChar w:fldCharType="end"/>
                                </w:r>
                              </w:p>
                            </w:tc>
                            <w:tc>
                              <w:tcPr>
                                <w:tcW w:w="2568" w:type="dxa"/>
                                <w:vAlign w:val="center"/>
                              </w:tcPr>
                              <w:p>
                                <w:pPr>
                                  <w:pStyle w:val="28"/>
                                  <w:rPr>
                                    <w:rFonts w:ascii="Arial" w:hAnsi="Arial"/>
                                    <w:b/>
                                    <w:spacing w:val="40"/>
                                    <w:sz w:val="16"/>
                                  </w:rPr>
                                </w:pPr>
                                <w:r>
                                  <w:rPr>
                                    <w:rFonts w:hint="eastAsia" w:ascii="Arial" w:hAnsi="Arial"/>
                                    <w:b/>
                                    <w:sz w:val="16"/>
                                  </w:rPr>
                                  <w:t>请务必仔细阅读正文后免责申明</w:t>
                                </w:r>
                              </w:p>
                            </w:tc>
                            <w:tc>
                              <w:tcPr>
                                <w:tcW w:w="3644" w:type="dxa"/>
                                <w:vAlign w:val="center"/>
                              </w:tcPr>
                              <w:p>
                                <w:pPr>
                                  <w:pStyle w:val="28"/>
                                  <w:rPr>
                                    <w:rFonts w:ascii="Arial" w:hAnsi="Arial"/>
                                    <w:b/>
                                    <w:sz w:val="16"/>
                                  </w:rPr>
                                </w:pPr>
                                <w:r>
                                  <w:rPr>
                                    <w:rFonts w:ascii="Arial" w:hAnsi="Arial"/>
                                    <w:b/>
                                    <w:spacing w:val="40"/>
                                    <w:sz w:val="16"/>
                                  </w:rPr>
                                  <w:fldChar w:fldCharType="begin"/>
                                </w:r>
                                <w:r>
                                  <w:rPr>
                                    <w:rFonts w:ascii="Arial" w:hAnsi="Arial"/>
                                    <w:b/>
                                    <w:spacing w:val="40"/>
                                    <w:sz w:val="16"/>
                                  </w:rPr>
                                  <w:instrText xml:space="preserve"> PAGE  \* Arabic </w:instrText>
                                </w:r>
                                <w:r>
                                  <w:rPr>
                                    <w:rFonts w:ascii="Arial" w:hAnsi="Arial"/>
                                    <w:b/>
                                    <w:spacing w:val="40"/>
                                    <w:sz w:val="16"/>
                                  </w:rPr>
                                  <w:fldChar w:fldCharType="separate"/>
                                </w:r>
                                <w:r>
                                  <w:rPr>
                                    <w:rFonts w:ascii="Arial" w:hAnsi="Arial"/>
                                    <w:b/>
                                    <w:spacing w:val="40"/>
                                    <w:sz w:val="16"/>
                                  </w:rPr>
                                  <w:t>3</w:t>
                                </w:r>
                                <w:r>
                                  <w:rPr>
                                    <w:rFonts w:ascii="Arial" w:hAnsi="Arial"/>
                                    <w:b/>
                                    <w:spacing w:val="40"/>
                                    <w:sz w:val="16"/>
                                  </w:rPr>
                                  <w:fldChar w:fldCharType="end"/>
                                </w:r>
                                <w:r>
                                  <w:rPr>
                                    <w:rFonts w:ascii="Arial" w:hAnsi="Arial"/>
                                    <w:b/>
                                    <w:spacing w:val="40"/>
                                    <w:sz w:val="16"/>
                                  </w:rPr>
                                  <w:t>/</w:t>
                                </w:r>
                                <w:r>
                                  <w:rPr>
                                    <w:rFonts w:ascii="Arial" w:hAnsi="Arial"/>
                                    <w:b/>
                                    <w:sz w:val="16"/>
                                  </w:rPr>
                                  <w:fldChar w:fldCharType="begin"/>
                                </w:r>
                                <w:r>
                                  <w:rPr>
                                    <w:rFonts w:ascii="Arial" w:hAnsi="Arial"/>
                                    <w:b/>
                                    <w:sz w:val="16"/>
                                  </w:rPr>
                                  <w:instrText xml:space="preserve"> NUMPAGES  \* Arabic </w:instrText>
                                </w:r>
                                <w:r>
                                  <w:rPr>
                                    <w:rFonts w:ascii="Arial" w:hAnsi="Arial"/>
                                    <w:b/>
                                    <w:sz w:val="16"/>
                                  </w:rPr>
                                  <w:fldChar w:fldCharType="separate"/>
                                </w:r>
                                <w:r>
                                  <w:rPr>
                                    <w:rFonts w:ascii="Arial" w:hAnsi="Arial"/>
                                    <w:b/>
                                    <w:sz w:val="16"/>
                                  </w:rPr>
                                  <w:t>6</w:t>
                                </w:r>
                                <w:r>
                                  <w:rPr>
                                    <w:rFonts w:ascii="Arial" w:hAnsi="Arial"/>
                                    <w:b/>
                                    <w:sz w:val="16"/>
                                  </w:rPr>
                                  <w:fldChar w:fldCharType="end"/>
                                </w:r>
                              </w:p>
                            </w:tc>
                            <w:tc>
                              <w:tcPr>
                                <w:tcW w:w="3644" w:type="dxa"/>
                                <w:vAlign w:val="center"/>
                              </w:tcPr>
                              <w:p>
                                <w:pPr>
                                  <w:pStyle w:val="28"/>
                                  <w:jc w:val="right"/>
                                  <w:rPr>
                                    <w:rFonts w:ascii="Arial" w:hAnsi="Arial"/>
                                    <w:b/>
                                    <w:sz w:val="16"/>
                                  </w:rPr>
                                </w:pPr>
                                <w:r>
                                  <w:rPr>
                                    <w:rFonts w:hint="eastAsia" w:ascii="Arial" w:hAnsi="Arial"/>
                                    <w:b/>
                                    <w:sz w:val="16"/>
                                  </w:rPr>
                                  <w:t>请务必仔细阅读正文后免责申明</w:t>
                                </w:r>
                              </w:p>
                            </w:tc>
                          </w:tr>
                        </w:tbl>
                        <w:p>
                          <w:pPr>
                            <w:pStyle w:val="9"/>
                          </w:pPr>
                        </w:p>
                      </w:txbxContent>
                    </wps:txbx>
                    <wps:bodyPr vert="horz" wrap="square" lIns="0" tIns="0" rIns="0" bIns="0" anchor="t">
                      <a:noAutofit/>
                    </wps:bodyPr>
                  </wps:wsp>
                </a:graphicData>
              </a:graphic>
            </wp:anchor>
          </w:drawing>
        </mc:Choice>
        <mc:Fallback>
          <w:pict>
            <v:rect id="文本框 2" o:spid="_x0000_s1026" o:spt="1" style="position:absolute;left:0pt;margin-left:25.1pt;margin-top:18.2pt;height:19.25pt;width:547.05pt;mso-position-horizontal-relative:page;z-index:-251654144;mso-width-relative:page;mso-height-relative:page;" filled="f" stroked="f" coordsize="21600,21600" o:gfxdata="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Tevi/aAAAACQEAAA8AAAAAAAAAAQAgAAAA&#10;IgAAAGRycy9kb3ducmV2LnhtbFBLAQIUABQAAAAIAIdO4kAwXGnW0AEAAJMDAAAOAAAAAAAAAAEA&#10;IAAAACkBAABkcnMvZTJvRG9jLnhtbFBLBQYAAAAABgAGAFkBAABrBQAAAAA=&#10;">
              <v:fill on="f" focussize="0,0"/>
              <v:stroke on="f"/>
              <v:imagedata o:title=""/>
              <o:lock v:ext="edit" aspectratio="f"/>
              <v:textbox inset="0mm,0mm,0mm,0mm">
                <w:txbxContent>
                  <w:tbl>
                    <w:tblPr>
                      <w:tblStyle w:val="14"/>
                      <w:tblW w:w="18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45"/>
                      <w:gridCol w:w="3119"/>
                      <w:gridCol w:w="2568"/>
                      <w:gridCol w:w="3644"/>
                      <w:gridCol w:w="3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245" w:type="dxa"/>
                          <w:vAlign w:val="center"/>
                        </w:tcPr>
                        <w:p>
                          <w:pPr>
                            <w:pStyle w:val="28"/>
                            <w:rPr>
                              <w:rFonts w:ascii="Arial" w:hAnsi="Arial"/>
                              <w:b/>
                              <w:sz w:val="16"/>
                            </w:rPr>
                          </w:pPr>
                          <w:r>
                            <w:rPr>
                              <w:rFonts w:ascii="Arial" w:hAnsi="Arial"/>
                              <w:b/>
                              <w:sz w:val="16"/>
                            </w:rPr>
                            <w:t>HTTP://WWW.QH168.COM.CN</w:t>
                          </w:r>
                        </w:p>
                      </w:tc>
                      <w:tc>
                        <w:tcPr>
                          <w:tcW w:w="3119" w:type="dxa"/>
                          <w:vAlign w:val="center"/>
                        </w:tcPr>
                        <w:p>
                          <w:pPr>
                            <w:pStyle w:val="28"/>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3</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6</w:t>
                          </w:r>
                          <w:r>
                            <w:rPr>
                              <w:rFonts w:ascii="Arial" w:hAnsi="Arial"/>
                              <w:b/>
                              <w:bCs/>
                              <w:sz w:val="16"/>
                            </w:rPr>
                            <w:fldChar w:fldCharType="end"/>
                          </w:r>
                        </w:p>
                      </w:tc>
                      <w:tc>
                        <w:tcPr>
                          <w:tcW w:w="2568" w:type="dxa"/>
                          <w:vAlign w:val="center"/>
                        </w:tcPr>
                        <w:p>
                          <w:pPr>
                            <w:pStyle w:val="28"/>
                            <w:rPr>
                              <w:rFonts w:ascii="Arial" w:hAnsi="Arial"/>
                              <w:b/>
                              <w:spacing w:val="40"/>
                              <w:sz w:val="16"/>
                            </w:rPr>
                          </w:pPr>
                          <w:r>
                            <w:rPr>
                              <w:rFonts w:hint="eastAsia" w:ascii="Arial" w:hAnsi="Arial"/>
                              <w:b/>
                              <w:sz w:val="16"/>
                            </w:rPr>
                            <w:t>请务必仔细阅读正文后免责申明</w:t>
                          </w:r>
                        </w:p>
                      </w:tc>
                      <w:tc>
                        <w:tcPr>
                          <w:tcW w:w="3644" w:type="dxa"/>
                          <w:vAlign w:val="center"/>
                        </w:tcPr>
                        <w:p>
                          <w:pPr>
                            <w:pStyle w:val="28"/>
                            <w:rPr>
                              <w:rFonts w:ascii="Arial" w:hAnsi="Arial"/>
                              <w:b/>
                              <w:sz w:val="16"/>
                            </w:rPr>
                          </w:pPr>
                          <w:r>
                            <w:rPr>
                              <w:rFonts w:ascii="Arial" w:hAnsi="Arial"/>
                              <w:b/>
                              <w:spacing w:val="40"/>
                              <w:sz w:val="16"/>
                            </w:rPr>
                            <w:fldChar w:fldCharType="begin"/>
                          </w:r>
                          <w:r>
                            <w:rPr>
                              <w:rFonts w:ascii="Arial" w:hAnsi="Arial"/>
                              <w:b/>
                              <w:spacing w:val="40"/>
                              <w:sz w:val="16"/>
                            </w:rPr>
                            <w:instrText xml:space="preserve"> PAGE  \* Arabic </w:instrText>
                          </w:r>
                          <w:r>
                            <w:rPr>
                              <w:rFonts w:ascii="Arial" w:hAnsi="Arial"/>
                              <w:b/>
                              <w:spacing w:val="40"/>
                              <w:sz w:val="16"/>
                            </w:rPr>
                            <w:fldChar w:fldCharType="separate"/>
                          </w:r>
                          <w:r>
                            <w:rPr>
                              <w:rFonts w:ascii="Arial" w:hAnsi="Arial"/>
                              <w:b/>
                              <w:spacing w:val="40"/>
                              <w:sz w:val="16"/>
                            </w:rPr>
                            <w:t>3</w:t>
                          </w:r>
                          <w:r>
                            <w:rPr>
                              <w:rFonts w:ascii="Arial" w:hAnsi="Arial"/>
                              <w:b/>
                              <w:spacing w:val="40"/>
                              <w:sz w:val="16"/>
                            </w:rPr>
                            <w:fldChar w:fldCharType="end"/>
                          </w:r>
                          <w:r>
                            <w:rPr>
                              <w:rFonts w:ascii="Arial" w:hAnsi="Arial"/>
                              <w:b/>
                              <w:spacing w:val="40"/>
                              <w:sz w:val="16"/>
                            </w:rPr>
                            <w:t>/</w:t>
                          </w:r>
                          <w:r>
                            <w:rPr>
                              <w:rFonts w:ascii="Arial" w:hAnsi="Arial"/>
                              <w:b/>
                              <w:sz w:val="16"/>
                            </w:rPr>
                            <w:fldChar w:fldCharType="begin"/>
                          </w:r>
                          <w:r>
                            <w:rPr>
                              <w:rFonts w:ascii="Arial" w:hAnsi="Arial"/>
                              <w:b/>
                              <w:sz w:val="16"/>
                            </w:rPr>
                            <w:instrText xml:space="preserve"> NUMPAGES  \* Arabic </w:instrText>
                          </w:r>
                          <w:r>
                            <w:rPr>
                              <w:rFonts w:ascii="Arial" w:hAnsi="Arial"/>
                              <w:b/>
                              <w:sz w:val="16"/>
                            </w:rPr>
                            <w:fldChar w:fldCharType="separate"/>
                          </w:r>
                          <w:r>
                            <w:rPr>
                              <w:rFonts w:ascii="Arial" w:hAnsi="Arial"/>
                              <w:b/>
                              <w:sz w:val="16"/>
                            </w:rPr>
                            <w:t>6</w:t>
                          </w:r>
                          <w:r>
                            <w:rPr>
                              <w:rFonts w:ascii="Arial" w:hAnsi="Arial"/>
                              <w:b/>
                              <w:sz w:val="16"/>
                            </w:rPr>
                            <w:fldChar w:fldCharType="end"/>
                          </w:r>
                        </w:p>
                      </w:tc>
                      <w:tc>
                        <w:tcPr>
                          <w:tcW w:w="3644" w:type="dxa"/>
                          <w:vAlign w:val="center"/>
                        </w:tcPr>
                        <w:p>
                          <w:pPr>
                            <w:pStyle w:val="28"/>
                            <w:jc w:val="right"/>
                            <w:rPr>
                              <w:rFonts w:ascii="Arial" w:hAnsi="Arial"/>
                              <w:b/>
                              <w:sz w:val="16"/>
                            </w:rPr>
                          </w:pPr>
                          <w:r>
                            <w:rPr>
                              <w:rFonts w:hint="eastAsia" w:ascii="Arial" w:hAnsi="Arial"/>
                              <w:b/>
                              <w:sz w:val="16"/>
                            </w:rPr>
                            <w:t>请务必仔细阅读正文后免责申明</w:t>
                          </w:r>
                        </w:p>
                      </w:tc>
                    </w:tr>
                  </w:tbl>
                  <w:p>
                    <w:pPr>
                      <w:pStyle w:val="9"/>
                    </w:pPr>
                  </w:p>
                </w:txbxContent>
              </v:textbox>
            </v:rect>
          </w:pict>
        </mc:Fallback>
      </mc:AlternateContent>
    </w:r>
    <w:r>
      <mc:AlternateContent>
        <mc:Choice Requires="wps">
          <w:drawing>
            <wp:anchor distT="0" distB="0" distL="0" distR="0" simplePos="0" relativeHeight="251663360" behindDoc="1" locked="0" layoutInCell="1" allowOverlap="1">
              <wp:simplePos x="0" y="0"/>
              <wp:positionH relativeFrom="page">
                <wp:posOffset>226695</wp:posOffset>
              </wp:positionH>
              <wp:positionV relativeFrom="paragraph">
                <wp:posOffset>144145</wp:posOffset>
              </wp:positionV>
              <wp:extent cx="7106285" cy="46990"/>
              <wp:effectExtent l="0" t="0" r="0" b="0"/>
              <wp:wrapNone/>
              <wp:docPr id="4103" name="文本框 2"/>
              <wp:cNvGraphicFramePr/>
              <a:graphic xmlns:a="http://schemas.openxmlformats.org/drawingml/2006/main">
                <a:graphicData uri="http://schemas.microsoft.com/office/word/2010/wordprocessingShape">
                  <wps:wsp>
                    <wps:cNvSpPr/>
                    <wps:spPr>
                      <a:xfrm>
                        <a:off x="0" y="0"/>
                        <a:ext cx="7106285" cy="46989"/>
                      </a:xfrm>
                      <a:prstGeom prst="rect">
                        <a:avLst/>
                      </a:prstGeom>
                      <a:solidFill>
                        <a:srgbClr val="AE0C21"/>
                      </a:solidFill>
                      <a:ln>
                        <a:noFill/>
                      </a:ln>
                    </wps:spPr>
                    <wps:txbx>
                      <w:txbxContent>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7.85pt;margin-top:11.35pt;height:3.7pt;width:559.55pt;mso-position-horizontal-relative:page;z-index:-251653120;mso-width-relative:page;mso-height-relative:page;" fillcolor="#AE0C21" filled="t" stroked="f" coordsize="21600,21600" o:gfxdata="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HuevjYAAAACQEAAA8AAAAAAAAAAQAgAAAAIgAAAGRycy9kb3ducmV2LnhtbFBLAQIU&#10;ABQAAAAIAIdO4kAnAw+m8wEAANYDAAAOAAAAAAAAAAEAIAAAACcBAABkcnMvZTJvRG9jLnhtbFBL&#10;BQYAAAAABgAGAFkBAACMBQAAAAA=&#10;">
              <v:fill on="t" focussize="0,0"/>
              <v:stroke on="f"/>
              <v:imagedata o:title=""/>
              <o:lock v:ext="edit" aspectratio="f"/>
              <v:textbox>
                <w:txbxContent>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0" distR="0" simplePos="0" relativeHeight="251669504" behindDoc="1" locked="0" layoutInCell="1" allowOverlap="1">
              <wp:simplePos x="0" y="0"/>
              <wp:positionH relativeFrom="page">
                <wp:posOffset>226695</wp:posOffset>
              </wp:positionH>
              <wp:positionV relativeFrom="paragraph">
                <wp:posOffset>144145</wp:posOffset>
              </wp:positionV>
              <wp:extent cx="7106285" cy="46990"/>
              <wp:effectExtent l="0" t="0" r="0" b="0"/>
              <wp:wrapNone/>
              <wp:docPr id="4111" name="文本框 2"/>
              <wp:cNvGraphicFramePr/>
              <a:graphic xmlns:a="http://schemas.openxmlformats.org/drawingml/2006/main">
                <a:graphicData uri="http://schemas.microsoft.com/office/word/2010/wordprocessingShape">
                  <wps:wsp>
                    <wps:cNvSpPr/>
                    <wps:spPr>
                      <a:xfrm>
                        <a:off x="0" y="0"/>
                        <a:ext cx="7106285" cy="46989"/>
                      </a:xfrm>
                      <a:prstGeom prst="rect">
                        <a:avLst/>
                      </a:prstGeom>
                      <a:solidFill>
                        <a:srgbClr val="AE0C21"/>
                      </a:solidFill>
                      <a:ln>
                        <a:noFill/>
                      </a:ln>
                    </wps:spPr>
                    <wps:txbx>
                      <w:txbxContent>
                        <w:p/>
                      </w:txbxContent>
                    </wps:txbx>
                    <wps:bodyPr vert="horz" wrap="square" lIns="91440" tIns="45720" rIns="91440" bIns="45720" anchor="t">
                      <a:noAutofit/>
                    </wps:bodyPr>
                  </wps:wsp>
                </a:graphicData>
              </a:graphic>
            </wp:anchor>
          </w:drawing>
        </mc:Choice>
        <mc:Fallback>
          <w:pict>
            <v:rect id="文本框 2" o:spid="_x0000_s1026" o:spt="1" style="position:absolute;left:0pt;margin-left:17.85pt;margin-top:11.35pt;height:3.7pt;width:559.55pt;mso-position-horizontal-relative:page;z-index:-251646976;mso-width-relative:page;mso-height-relative:page;" fillcolor="#AE0C21" filled="t" stroked="f" coordsize="21600,21600" o:gfxdata="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HuevjYAAAACQEAAA8AAAAAAAAAAQAgAAAAIgAAAGRycy9kb3ducmV2LnhtbFBLAQIU&#10;ABQAAAAIAIdO4kDk3tzj8wEAANYDAAAOAAAAAAAAAAEAIAAAACcBAABkcnMvZTJvRG9jLnhtbFBL&#10;BQYAAAAABgAGAFkBAACMBQAAAAA=&#10;">
              <v:fill on="t" focussize="0,0"/>
              <v:stroke on="f"/>
              <v:imagedata o:title=""/>
              <o:lock v:ext="edit" aspectratio="f"/>
              <v:textbox>
                <w:txbxContent>
                  <w:p/>
                </w:txbxContent>
              </v:textbox>
            </v:rect>
          </w:pict>
        </mc:Fallback>
      </mc:AlternateContent>
    </w:r>
    <w:r>
      <mc:AlternateContent>
        <mc:Choice Requires="wps">
          <w:drawing>
            <wp:anchor distT="0" distB="0" distL="0" distR="0" simplePos="0" relativeHeight="251670528" behindDoc="1" locked="0" layoutInCell="1" allowOverlap="1">
              <wp:simplePos x="0" y="0"/>
              <wp:positionH relativeFrom="page">
                <wp:posOffset>323850</wp:posOffset>
              </wp:positionH>
              <wp:positionV relativeFrom="paragraph">
                <wp:posOffset>234315</wp:posOffset>
              </wp:positionV>
              <wp:extent cx="6948170" cy="215900"/>
              <wp:effectExtent l="0" t="0" r="5715" b="12700"/>
              <wp:wrapNone/>
              <wp:docPr id="4112" name="文本框 2"/>
              <wp:cNvGraphicFramePr/>
              <a:graphic xmlns:a="http://schemas.openxmlformats.org/drawingml/2006/main">
                <a:graphicData uri="http://schemas.microsoft.com/office/word/2010/wordprocessingShape">
                  <wps:wsp>
                    <wps:cNvSpPr/>
                    <wps:spPr>
                      <a:xfrm>
                        <a:off x="0" y="0"/>
                        <a:ext cx="6948170" cy="215899"/>
                      </a:xfrm>
                      <a:prstGeom prst="rect">
                        <a:avLst/>
                      </a:prstGeom>
                      <a:ln>
                        <a:noFill/>
                      </a:ln>
                    </wps:spPr>
                    <wps:txbx>
                      <w:txbxContent>
                        <w:tbl>
                          <w:tblPr>
                            <w:tblStyle w:val="14"/>
                            <w:tblW w:w="1093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66"/>
                            <w:gridCol w:w="5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466" w:type="dxa"/>
                                <w:vAlign w:val="center"/>
                              </w:tcPr>
                              <w:p>
                                <w:pPr>
                                  <w:pStyle w:val="28"/>
                                  <w:rPr>
                                    <w:rFonts w:ascii="Arial" w:hAnsi="Arial"/>
                                    <w:b/>
                                    <w:sz w:val="16"/>
                                  </w:rPr>
                                </w:pPr>
                                <w:r>
                                  <w:rPr>
                                    <w:rFonts w:ascii="Arial" w:hAnsi="Arial"/>
                                    <w:b/>
                                    <w:sz w:val="16"/>
                                  </w:rPr>
                                  <w:t>HTTP://WWW.QH168.COM.CN</w:t>
                                </w:r>
                              </w:p>
                            </w:tc>
                            <w:tc>
                              <w:tcPr>
                                <w:tcW w:w="5466" w:type="dxa"/>
                                <w:vAlign w:val="center"/>
                              </w:tcPr>
                              <w:p>
                                <w:pPr>
                                  <w:pStyle w:val="28"/>
                                  <w:ind w:right="160"/>
                                  <w:jc w:val="right"/>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1</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6</w:t>
                                </w:r>
                                <w:r>
                                  <w:rPr>
                                    <w:rFonts w:ascii="Arial" w:hAnsi="Arial"/>
                                    <w:b/>
                                    <w:bCs/>
                                    <w:sz w:val="16"/>
                                  </w:rPr>
                                  <w:fldChar w:fldCharType="end"/>
                                </w:r>
                                <w:r>
                                  <w:rPr>
                                    <w:rFonts w:ascii="Arial" w:hAnsi="Arial"/>
                                    <w:b/>
                                    <w:bCs/>
                                    <w:sz w:val="16"/>
                                  </w:rPr>
                                  <w:t xml:space="preserve">                                </w:t>
                                </w:r>
                                <w:r>
                                  <w:rPr>
                                    <w:rFonts w:hint="eastAsia" w:ascii="Arial" w:hAnsi="Arial"/>
                                    <w:b/>
                                    <w:sz w:val="16"/>
                                  </w:rPr>
                                  <w:t>请务必仔细阅读正文后免责申明</w:t>
                                </w:r>
                              </w:p>
                            </w:tc>
                          </w:tr>
                        </w:tbl>
                        <w:p>
                          <w:pPr>
                            <w:pStyle w:val="9"/>
                            <w:jc w:val="right"/>
                          </w:pPr>
                        </w:p>
                      </w:txbxContent>
                    </wps:txbx>
                    <wps:bodyPr vert="horz" wrap="square" lIns="0" tIns="0" rIns="0" bIns="0" anchor="t">
                      <a:noAutofit/>
                    </wps:bodyPr>
                  </wps:wsp>
                </a:graphicData>
              </a:graphic>
            </wp:anchor>
          </w:drawing>
        </mc:Choice>
        <mc:Fallback>
          <w:pict>
            <v:rect id="文本框 2" o:spid="_x0000_s1026" o:spt="1" style="position:absolute;left:0pt;margin-left:25.5pt;margin-top:18.45pt;height:17pt;width:547.1pt;mso-position-horizontal-relative:page;z-index:-251645952;mso-width-relative:page;mso-height-relative:page;" filled="f" stroked="f" coordsize="21600,21600" o:gfxdata="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18vvf2gAAAAkBAAAPAAAAAAAAAAEAIAAA&#10;ACIAAABkcnMvZG93bnJldi54bWxQSwECFAAUAAAACACHTuJACSFwadEBAACTAwAADgAAAAAAAAAB&#10;ACAAAAApAQAAZHJzL2Uyb0RvYy54bWxQSwUGAAAAAAYABgBZAQAAbAUAAAAA&#10;">
              <v:fill on="f" focussize="0,0"/>
              <v:stroke on="f"/>
              <v:imagedata o:title=""/>
              <o:lock v:ext="edit" aspectratio="f"/>
              <v:textbox inset="0mm,0mm,0mm,0mm">
                <w:txbxContent>
                  <w:tbl>
                    <w:tblPr>
                      <w:tblStyle w:val="14"/>
                      <w:tblW w:w="1093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66"/>
                      <w:gridCol w:w="5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466" w:type="dxa"/>
                          <w:vAlign w:val="center"/>
                        </w:tcPr>
                        <w:p>
                          <w:pPr>
                            <w:pStyle w:val="28"/>
                            <w:rPr>
                              <w:rFonts w:ascii="Arial" w:hAnsi="Arial"/>
                              <w:b/>
                              <w:sz w:val="16"/>
                            </w:rPr>
                          </w:pPr>
                          <w:r>
                            <w:rPr>
                              <w:rFonts w:ascii="Arial" w:hAnsi="Arial"/>
                              <w:b/>
                              <w:sz w:val="16"/>
                            </w:rPr>
                            <w:t>HTTP://WWW.QH168.COM.CN</w:t>
                          </w:r>
                        </w:p>
                      </w:tc>
                      <w:tc>
                        <w:tcPr>
                          <w:tcW w:w="5466" w:type="dxa"/>
                          <w:vAlign w:val="center"/>
                        </w:tcPr>
                        <w:p>
                          <w:pPr>
                            <w:pStyle w:val="28"/>
                            <w:ind w:right="160"/>
                            <w:jc w:val="right"/>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1</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6</w:t>
                          </w:r>
                          <w:r>
                            <w:rPr>
                              <w:rFonts w:ascii="Arial" w:hAnsi="Arial"/>
                              <w:b/>
                              <w:bCs/>
                              <w:sz w:val="16"/>
                            </w:rPr>
                            <w:fldChar w:fldCharType="end"/>
                          </w:r>
                          <w:r>
                            <w:rPr>
                              <w:rFonts w:ascii="Arial" w:hAnsi="Arial"/>
                              <w:b/>
                              <w:bCs/>
                              <w:sz w:val="16"/>
                            </w:rPr>
                            <w:t xml:space="preserve">                                </w:t>
                          </w:r>
                          <w:r>
                            <w:rPr>
                              <w:rFonts w:hint="eastAsia" w:ascii="Arial" w:hAnsi="Arial"/>
                              <w:b/>
                              <w:sz w:val="16"/>
                            </w:rPr>
                            <w:t>请务必仔细阅读正文后免责申明</w:t>
                          </w:r>
                        </w:p>
                      </w:tc>
                    </w:tr>
                  </w:tbl>
                  <w:p>
                    <w:pPr>
                      <w:pStyle w:val="9"/>
                      <w:jc w:val="right"/>
                    </w:pP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pPr>
    <w:r>
      <w:rPr>
        <w:sz w:val="20"/>
        <w:szCs w:val="20"/>
      </w:rPr>
      <w:drawing>
        <wp:anchor distT="0" distB="0" distL="0" distR="0" simplePos="0" relativeHeight="251659264" behindDoc="0" locked="0" layoutInCell="1" allowOverlap="1">
          <wp:simplePos x="0" y="0"/>
          <wp:positionH relativeFrom="margin">
            <wp:posOffset>5231765</wp:posOffset>
          </wp:positionH>
          <wp:positionV relativeFrom="paragraph">
            <wp:posOffset>-500380</wp:posOffset>
          </wp:positionV>
          <wp:extent cx="1219200" cy="342900"/>
          <wp:effectExtent l="0" t="0" r="0" b="0"/>
          <wp:wrapNone/>
          <wp:docPr id="4097" name="图片 2" descr="小龙彩"/>
          <wp:cNvGraphicFramePr/>
          <a:graphic xmlns:a="http://schemas.openxmlformats.org/drawingml/2006/main">
            <a:graphicData uri="http://schemas.openxmlformats.org/drawingml/2006/picture">
              <pic:pic xmlns:pic="http://schemas.openxmlformats.org/drawingml/2006/picture">
                <pic:nvPicPr>
                  <pic:cNvPr id="4097" name="图片 2" descr="小龙彩"/>
                  <pic:cNvPicPr/>
                </pic:nvPicPr>
                <pic:blipFill>
                  <a:blip r:embed="rId1" cstate="print"/>
                  <a:srcRect/>
                  <a:stretch>
                    <a:fillRect/>
                  </a:stretch>
                </pic:blipFill>
                <pic:spPr>
                  <a:xfrm>
                    <a:off x="0" y="0"/>
                    <a:ext cx="1219200" cy="342900"/>
                  </a:xfrm>
                  <a:prstGeom prst="rect">
                    <a:avLst/>
                  </a:prstGeom>
                  <a:ln>
                    <a:noFill/>
                  </a:ln>
                </pic:spPr>
              </pic:pic>
            </a:graphicData>
          </a:graphic>
        </wp:anchor>
      </w:drawing>
    </w:r>
    <w:r>
      <mc:AlternateContent>
        <mc:Choice Requires="wpg">
          <w:drawing>
            <wp:anchor distT="0" distB="0" distL="0" distR="0" simplePos="0" relativeHeight="251660288" behindDoc="0" locked="0" layoutInCell="1" allowOverlap="1">
              <wp:simplePos x="0" y="0"/>
              <wp:positionH relativeFrom="page">
                <wp:posOffset>226695</wp:posOffset>
              </wp:positionH>
              <wp:positionV relativeFrom="page">
                <wp:posOffset>396240</wp:posOffset>
              </wp:positionV>
              <wp:extent cx="7106285" cy="107950"/>
              <wp:effectExtent l="0" t="0" r="0" b="6350"/>
              <wp:wrapNone/>
              <wp:docPr id="4098" name="组合 12"/>
              <wp:cNvGraphicFramePr/>
              <a:graphic xmlns:a="http://schemas.openxmlformats.org/drawingml/2006/main">
                <a:graphicData uri="http://schemas.microsoft.com/office/word/2010/wordprocessingGroup">
                  <wpg:wgp>
                    <wpg:cNvGrpSpPr/>
                    <wpg:grpSpPr>
                      <a:xfrm>
                        <a:off x="0" y="0"/>
                        <a:ext cx="7106285" cy="107950"/>
                        <a:chOff x="0" y="0"/>
                        <a:chExt cx="7167403" cy="87630"/>
                      </a:xfrm>
                    </wpg:grpSpPr>
                    <wps:wsp>
                      <wps:cNvPr id="1" name="矩形 1"/>
                      <wps:cNvSpPr/>
                      <wps:spPr>
                        <a:xfrm>
                          <a:off x="0" y="25876"/>
                          <a:ext cx="3590925" cy="59690"/>
                        </a:xfrm>
                        <a:prstGeom prst="rect">
                          <a:avLst/>
                        </a:prstGeom>
                        <a:solidFill>
                          <a:srgbClr val="0D4081"/>
                        </a:solidFill>
                        <a:ln>
                          <a:noFill/>
                        </a:ln>
                        <a:effectLst>
                          <a:softEdge rad="12700"/>
                        </a:effectLst>
                      </wps:spPr>
                      <wps:bodyPr/>
                    </wps:wsp>
                    <wps:wsp>
                      <wps:cNvPr id="2" name="任意多边形 2"/>
                      <wps:cNvSpPr/>
                      <wps:spPr>
                        <a:xfrm rot="16200000">
                          <a:off x="5263832" y="-1815941"/>
                          <a:ext cx="87630" cy="3719512"/>
                        </a:xfrm>
                        <a:custGeom>
                          <a:avLst/>
                          <a:gdLst/>
                          <a:ahLst/>
                          <a:cxnLst/>
                          <a:rect l="l" t="t" r="r" b="b"/>
                          <a:pathLst>
                            <a:path w="10000" h="10000">
                              <a:moveTo>
                                <a:pt x="0" y="0"/>
                              </a:moveTo>
                              <a:lnTo>
                                <a:pt x="10000" y="366"/>
                              </a:lnTo>
                              <a:lnTo>
                                <a:pt x="10000" y="10000"/>
                              </a:lnTo>
                              <a:lnTo>
                                <a:pt x="0" y="10000"/>
                              </a:lnTo>
                              <a:lnTo>
                                <a:pt x="0" y="0"/>
                              </a:lnTo>
                              <a:close/>
                            </a:path>
                          </a:pathLst>
                        </a:custGeom>
                        <a:solidFill>
                          <a:srgbClr val="AE0C21"/>
                        </a:solidFill>
                        <a:ln>
                          <a:noFill/>
                        </a:ln>
                        <a:effectLst>
                          <a:softEdge rad="12700"/>
                        </a:effectLst>
                      </wps:spPr>
                      <wps:bodyPr/>
                    </wps:wsp>
                  </wpg:wgp>
                </a:graphicData>
              </a:graphic>
            </wp:anchor>
          </w:drawing>
        </mc:Choice>
        <mc:Fallback>
          <w:pict>
            <v:group id="组合 12" o:spid="_x0000_s1026" o:spt="203" style="position:absolute;left:0pt;margin-left:17.85pt;margin-top:31.2pt;height:8.5pt;width:559.55pt;mso-position-horizontal-relative:page;mso-position-vertical-relative:page;z-index:251660288;mso-width-relative:page;mso-height-relative:page;" coordsize="7167403,87630" o:gfxdata="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HvTD1HaAAAACQEAAA8AAAAAAAAAAQAgAAAAIgAAAGRycy9kb3ducmV2LnhtbFBLAQIU&#10;ABQAAAAIAIdO4kBPzh8cDgMAAM0HAAAOAAAAAAAAAAEAIAAAACkBAABkcnMvZTJvRG9jLnhtbFBL&#10;BQYAAAAABgAGAFkBAACpBgAAAAA=&#10;">
              <o:lock v:ext="edit" aspectratio="f"/>
              <v:rect id="_x0000_s1026" o:spid="_x0000_s1026" o:spt="1" style="position:absolute;left:0;top:25876;height:59690;width:3590925;" fillcolor="#0D4081" filled="t" stroked="f" coordsize="21600,21600" o:gfxdata="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Qh/ErgAAADaAAAA&#10;DwAAAAAAAAABACAAAAAiAAAAZHJzL2Rvd25yZXYueG1sUEsBAhQAFAAAAAgAh07iQDMvBZ47AAAA&#10;OQAAABAAAAAAAAAAAQAgAAAABwEAAGRycy9zaGFwZXhtbC54bWxQSwUGAAAAAAYABgBbAQAAsQMA&#10;AAAA&#10;">
                <v:fill on="t" focussize="0,0"/>
                <v:stroke on="f"/>
                <v:imagedata o:title=""/>
                <o:lock v:ext="edit" aspectratio="f"/>
              </v:rect>
              <v:shape id="_x0000_s1026" o:spid="_x0000_s1026" o:spt="100" style="position:absolute;left:5263832;top:-1815941;height:3719512;width:87630;rotation:-5898240f;" fillcolor="#AE0C21" filled="t" stroked="f" coordsize="10000,10000" o:gfxdata="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0Imb4A&#10;AADaAAAADwAAAAAAAAABACAAAAAiAAAAZHJzL2Rvd25yZXYueG1sUEsBAhQAFAAAAAgAh07iQDMv&#10;BZ47AAAAOQAAABAAAAAAAAAAAQAgAAAADQEAAGRycy9zaGFwZXhtbC54bWxQSwUGAAAAAAYABgBb&#10;AQAAtwMAAAAA&#10;" path="m0,0l10000,366,10000,10000,0,10000,0,0xe">
                <v:fill on="t" focussize="0,0"/>
                <v:stroke on="f"/>
                <v:imagedata o:title=""/>
                <o:lock v:ext="edit" aspectratio="f"/>
              </v:shape>
            </v:group>
          </w:pict>
        </mc:Fallback>
      </mc:AlternateContent>
    </w:r>
    <w:r>
      <mc:AlternateContent>
        <mc:Choice Requires="wps">
          <w:drawing>
            <wp:anchor distT="45720" distB="45720" distL="114300" distR="114300" simplePos="0" relativeHeight="251661312" behindDoc="0" locked="0" layoutInCell="1" allowOverlap="1">
              <wp:simplePos x="0" y="0"/>
              <wp:positionH relativeFrom="page">
                <wp:posOffset>431800</wp:posOffset>
              </wp:positionH>
              <wp:positionV relativeFrom="page">
                <wp:posOffset>144145</wp:posOffset>
              </wp:positionV>
              <wp:extent cx="2360930" cy="323850"/>
              <wp:effectExtent l="0" t="0" r="0" b="0"/>
              <wp:wrapSquare wrapText="bothSides"/>
              <wp:docPr id="4101" name="文本框 2"/>
              <wp:cNvGraphicFramePr/>
              <a:graphic xmlns:a="http://schemas.openxmlformats.org/drawingml/2006/main">
                <a:graphicData uri="http://schemas.microsoft.com/office/word/2010/wordprocessingShape">
                  <wps:wsp>
                    <wps:cNvSpPr/>
                    <wps:spPr>
                      <a:xfrm>
                        <a:off x="0" y="0"/>
                        <a:ext cx="2360930" cy="323849"/>
                      </a:xfrm>
                      <a:prstGeom prst="rect">
                        <a:avLst/>
                      </a:prstGeom>
                      <a:ln>
                        <a:noFill/>
                      </a:ln>
                    </wps:spPr>
                    <wps:txbx>
                      <w:txbxContent>
                        <w:p>
                          <w:pPr>
                            <w:rPr>
                              <w:rFonts w:ascii="思源黑体" w:hAnsi="Arial" w:eastAsia="思源黑体"/>
                              <w:b/>
                              <w:color w:val="D70C25"/>
                              <w:sz w:val="22"/>
                            </w:rPr>
                          </w:pPr>
                          <w:r>
                            <w:rPr>
                              <w:rFonts w:hint="eastAsia" w:ascii="思源黑体" w:hAnsi="Arial" w:eastAsia="思源黑体"/>
                              <w:b/>
                              <w:color w:val="D70C25"/>
                              <w:sz w:val="22"/>
                            </w:rPr>
                            <w:t>研究所晨会观点精粹</w:t>
                          </w:r>
                        </w:p>
                      </w:txbxContent>
                    </wps:txbx>
                    <wps:bodyPr vert="horz" wrap="square" lIns="91440" tIns="45720" rIns="91440" bIns="45720" anchor="t">
                      <a:noAutofit/>
                    </wps:bodyPr>
                  </wps:wsp>
                </a:graphicData>
              </a:graphic>
              <wp14:sizeRelH relativeFrom="margin">
                <wp14:pctWidth>40000</wp14:pctWidth>
              </wp14:sizeRelH>
              <wp14:sizeRelV relativeFrom="page">
                <wp14:pctHeight>0</wp14:pctHeight>
              </wp14:sizeRelV>
            </wp:anchor>
          </w:drawing>
        </mc:Choice>
        <mc:Fallback>
          <w:pict>
            <v:rect id="文本框 2" o:spid="_x0000_s1026" o:spt="1" style="position:absolute;left:0pt;margin-left:34pt;margin-top:11.35pt;height:25.5pt;width:185.9pt;mso-position-horizontal-relative:page;mso-position-vertical-relative:page;mso-wrap-distance-bottom:3.6pt;mso-wrap-distance-left:9pt;mso-wrap-distance-right:9pt;mso-wrap-distance-top:3.6pt;z-index:251661312;mso-width-relative:margin;mso-height-relative:page;mso-width-percent:400;" filled="f" stroked="f" coordsize="21600,21600" o:gfxdata="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Xpkge1wAAAAgBAAAPAAAAAAAA&#10;AAEAIAAAACIAAABkcnMvZG93bnJldi54bWxQSwECFAAUAAAACACHTuJAQj+6LdoBAACjAwAADgAA&#10;AAAAAAABACAAAAAmAQAAZHJzL2Uyb0RvYy54bWxQSwUGAAAAAAYABgBZAQAAcgUAAAAA&#10;">
              <v:fill on="f" focussize="0,0"/>
              <v:stroke on="f"/>
              <v:imagedata o:title=""/>
              <o:lock v:ext="edit" aspectratio="f"/>
              <v:textbox>
                <w:txbxContent>
                  <w:p>
                    <w:pPr>
                      <w:rPr>
                        <w:rFonts w:ascii="思源黑体" w:hAnsi="Arial" w:eastAsia="思源黑体"/>
                        <w:b/>
                        <w:color w:val="D70C25"/>
                        <w:sz w:val="22"/>
                      </w:rPr>
                    </w:pPr>
                    <w:r>
                      <w:rPr>
                        <w:rFonts w:hint="eastAsia" w:ascii="思源黑体" w:hAnsi="Arial" w:eastAsia="思源黑体"/>
                        <w:b/>
                        <w:color w:val="D70C25"/>
                        <w:sz w:val="22"/>
                      </w:rPr>
                      <w:t>研究所晨会观点精粹</w:t>
                    </w:r>
                  </w:p>
                </w:txbxContent>
              </v:textbox>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pPr>
    <w:r>
      <mc:AlternateContent>
        <mc:Choice Requires="wps">
          <w:drawing>
            <wp:anchor distT="0" distB="0" distL="0" distR="0" simplePos="0" relativeHeight="251664384" behindDoc="1" locked="0" layoutInCell="1" allowOverlap="1">
              <wp:simplePos x="0" y="0"/>
              <wp:positionH relativeFrom="page">
                <wp:posOffset>191135</wp:posOffset>
              </wp:positionH>
              <wp:positionV relativeFrom="page">
                <wp:posOffset>3046095</wp:posOffset>
              </wp:positionV>
              <wp:extent cx="464185" cy="6901180"/>
              <wp:effectExtent l="0" t="0" r="12065" b="13970"/>
              <wp:wrapNone/>
              <wp:docPr id="4104" name="文本框 2"/>
              <wp:cNvGraphicFramePr/>
              <a:graphic xmlns:a="http://schemas.openxmlformats.org/drawingml/2006/main">
                <a:graphicData uri="http://schemas.microsoft.com/office/word/2010/wordprocessingShape">
                  <wps:wsp>
                    <wps:cNvSpPr/>
                    <wps:spPr>
                      <a:xfrm>
                        <a:off x="0" y="0"/>
                        <a:ext cx="464184" cy="6901180"/>
                      </a:xfrm>
                      <a:prstGeom prst="rect">
                        <a:avLst/>
                      </a:prstGeom>
                      <a:solidFill>
                        <a:srgbClr val="C9C9CA"/>
                      </a:solidFill>
                      <a:ln>
                        <a:noFill/>
                      </a:ln>
                    </wps:spPr>
                    <wps:txbx>
                      <w:txbxContent>
                        <w:p>
                          <w:pPr>
                            <w:pStyle w:val="28"/>
                            <w:spacing w:line="400" w:lineRule="exact"/>
                            <w:rPr>
                              <w:rFonts w:ascii="思源黑体" w:hAnsi="Arial" w:eastAsia="思源黑体"/>
                              <w:b/>
                              <w:color w:val="FFFFFF"/>
                              <w:sz w:val="28"/>
                            </w:rPr>
                          </w:pPr>
                        </w:p>
                      </w:txbxContent>
                    </wps:txbx>
                    <wps:bodyPr vert="eaVert" wrap="square" lIns="91440" tIns="45720" rIns="91440" bIns="45720" anchor="t">
                      <a:noAutofit/>
                    </wps:bodyPr>
                  </wps:wsp>
                </a:graphicData>
              </a:graphic>
            </wp:anchor>
          </w:drawing>
        </mc:Choice>
        <mc:Fallback>
          <w:pict>
            <v:rect id="文本框 2" o:spid="_x0000_s1026" o:spt="1" style="position:absolute;left:0pt;margin-left:15.05pt;margin-top:239.85pt;height:543.4pt;width:36.55pt;mso-position-horizontal-relative:page;mso-position-vertical-relative:page;z-index:-251652096;mso-width-relative:page;mso-height-relative:page;" fillcolor="#C9C9CA" filled="t" stroked="f" coordsize="21600,21600" o:gfxdata="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llqi3ZAAAACwEAAA8AAAAAAAAAAQAgAAAAIgAAAGRycy9kb3ducmV2LnhtbFBL&#10;AQIUABQAAAAIAIdO4kBVReKI9QEAANkDAAAOAAAAAAAAAAEAIAAAACgBAABkcnMvZTJvRG9jLnht&#10;bFBLBQYAAAAABgAGAFkBAACPBQAAAAA=&#10;">
              <v:fill on="t" focussize="0,0"/>
              <v:stroke on="f"/>
              <v:imagedata o:title=""/>
              <o:lock v:ext="edit" aspectratio="f"/>
              <v:textbox style="layout-flow:vertical-ideographic;">
                <w:txbxContent>
                  <w:p>
                    <w:pPr>
                      <w:pStyle w:val="28"/>
                      <w:spacing w:line="400" w:lineRule="exact"/>
                      <w:rPr>
                        <w:rFonts w:ascii="思源黑体" w:hAnsi="Arial" w:eastAsia="思源黑体"/>
                        <w:b/>
                        <w:color w:val="FFFFFF"/>
                        <w:sz w:val="28"/>
                      </w:rPr>
                    </w:pPr>
                  </w:p>
                </w:txbxContent>
              </v:textbox>
            </v:rect>
          </w:pict>
        </mc:Fallback>
      </mc:AlternateContent>
    </w:r>
    <w:r>
      <mc:AlternateContent>
        <mc:Choice Requires="wps">
          <w:drawing>
            <wp:anchor distT="0" distB="0" distL="0" distR="0" simplePos="0" relativeHeight="251665408" behindDoc="1" locked="0" layoutInCell="1" allowOverlap="1">
              <wp:simplePos x="0" y="0"/>
              <wp:positionH relativeFrom="page">
                <wp:posOffset>191135</wp:posOffset>
              </wp:positionH>
              <wp:positionV relativeFrom="page">
                <wp:posOffset>95250</wp:posOffset>
              </wp:positionV>
              <wp:extent cx="464185" cy="919480"/>
              <wp:effectExtent l="0" t="0" r="0" b="0"/>
              <wp:wrapNone/>
              <wp:docPr id="4105" name="文本框 2"/>
              <wp:cNvGraphicFramePr/>
              <a:graphic xmlns:a="http://schemas.openxmlformats.org/drawingml/2006/main">
                <a:graphicData uri="http://schemas.microsoft.com/office/word/2010/wordprocessingShape">
                  <wps:wsp>
                    <wps:cNvSpPr/>
                    <wps:spPr>
                      <a:xfrm>
                        <a:off x="0" y="0"/>
                        <a:ext cx="464184" cy="919479"/>
                      </a:xfrm>
                      <a:prstGeom prst="rect">
                        <a:avLst/>
                      </a:prstGeom>
                      <a:solidFill>
                        <a:srgbClr val="AE0C21"/>
                      </a:solidFill>
                      <a:ln>
                        <a:noFill/>
                      </a:ln>
                    </wps:spPr>
                    <wps:txbx>
                      <w:txbxContent>
                        <w:p>
                          <w:pPr>
                            <w:pStyle w:val="28"/>
                            <w:spacing w:line="400" w:lineRule="exact"/>
                            <w:jc w:val="center"/>
                            <w:rPr>
                              <w:rFonts w:ascii="思源黑体" w:hAnsi="微软雅黑" w:eastAsia="思源黑体"/>
                              <w:b/>
                              <w:color w:val="FFFFFF"/>
                              <w:sz w:val="28"/>
                            </w:rPr>
                          </w:pPr>
                          <w:r>
                            <w:rPr>
                              <w:rFonts w:hint="eastAsia" w:ascii="思源黑体" w:hAnsi="微软雅黑" w:eastAsia="思源黑体"/>
                              <w:b/>
                              <w:color w:val="FFFFFF"/>
                              <w:sz w:val="28"/>
                            </w:rPr>
                            <w:fldChar w:fldCharType="begin"/>
                          </w:r>
                          <w:r>
                            <w:rPr>
                              <w:rFonts w:hint="eastAsia" w:ascii="思源黑体" w:hAnsi="微软雅黑" w:eastAsia="思源黑体"/>
                              <w:b/>
                              <w:color w:val="FFFFFF"/>
                              <w:sz w:val="28"/>
                            </w:rPr>
                            <w:instrText xml:space="preserve"> DOCPROPERTY  columnname </w:instrText>
                          </w:r>
                          <w:r>
                            <w:rPr>
                              <w:rFonts w:hint="eastAsia" w:ascii="思源黑体" w:hAnsi="微软雅黑" w:eastAsia="思源黑体"/>
                              <w:b/>
                              <w:color w:val="FFFFFF"/>
                              <w:sz w:val="28"/>
                            </w:rPr>
                            <w:fldChar w:fldCharType="separate"/>
                          </w:r>
                          <w:r>
                            <w:rPr>
                              <w:rFonts w:hint="eastAsia" w:ascii="思源黑体" w:hAnsi="微软雅黑" w:eastAsia="思源黑体"/>
                              <w:b/>
                              <w:color w:val="FFFFFF"/>
                              <w:sz w:val="28"/>
                            </w:rPr>
                            <w:t>东海研究</w:t>
                          </w:r>
                          <w:r>
                            <w:rPr>
                              <w:rFonts w:hint="eastAsia" w:ascii="思源黑体" w:hAnsi="微软雅黑" w:eastAsia="思源黑体"/>
                              <w:b/>
                              <w:color w:val="FFFFFF"/>
                              <w:sz w:val="28"/>
                            </w:rPr>
                            <w:fldChar w:fldCharType="end"/>
                          </w:r>
                        </w:p>
                      </w:txbxContent>
                    </wps:txbx>
                    <wps:bodyPr vert="eaVert" wrap="square" lIns="91440" tIns="45720" rIns="91440" bIns="45720" anchor="t">
                      <a:noAutofit/>
                    </wps:bodyPr>
                  </wps:wsp>
                </a:graphicData>
              </a:graphic>
            </wp:anchor>
          </w:drawing>
        </mc:Choice>
        <mc:Fallback>
          <w:pict>
            <v:rect id="文本框 2" o:spid="_x0000_s1026" o:spt="1" style="position:absolute;left:0pt;margin-left:15.05pt;margin-top:7.5pt;height:72.4pt;width:36.55pt;mso-position-horizontal-relative:page;mso-position-vertical-relative:page;z-index:-251651072;mso-width-relative:page;mso-height-relative:page;" fillcolor="#AE0C21" filled="t" stroked="f" coordsize="21600,21600" o:gfxdata="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BnB+dcAAAAJAQAADwAAAAAAAAABACAAAAAiAAAAZHJzL2Rvd25yZXYueG1sUEsBAhQA&#10;FAAAAAgAh07iQEvs9ebzAQAA2AMAAA4AAAAAAAAAAQAgAAAAJgEAAGRycy9lMm9Eb2MueG1sUEsF&#10;BgAAAAAGAAYAWQEAAIsFAAAAAA==&#10;">
              <v:fill on="t" focussize="0,0"/>
              <v:stroke on="f"/>
              <v:imagedata o:title=""/>
              <o:lock v:ext="edit" aspectratio="f"/>
              <v:textbox style="layout-flow:vertical-ideographic;">
                <w:txbxContent>
                  <w:p>
                    <w:pPr>
                      <w:pStyle w:val="28"/>
                      <w:spacing w:line="400" w:lineRule="exact"/>
                      <w:jc w:val="center"/>
                      <w:rPr>
                        <w:rFonts w:ascii="思源黑体" w:hAnsi="微软雅黑" w:eastAsia="思源黑体"/>
                        <w:b/>
                        <w:color w:val="FFFFFF"/>
                        <w:sz w:val="28"/>
                      </w:rPr>
                    </w:pPr>
                    <w:r>
                      <w:rPr>
                        <w:rFonts w:hint="eastAsia" w:ascii="思源黑体" w:hAnsi="微软雅黑" w:eastAsia="思源黑体"/>
                        <w:b/>
                        <w:color w:val="FFFFFF"/>
                        <w:sz w:val="28"/>
                      </w:rPr>
                      <w:fldChar w:fldCharType="begin"/>
                    </w:r>
                    <w:r>
                      <w:rPr>
                        <w:rFonts w:hint="eastAsia" w:ascii="思源黑体" w:hAnsi="微软雅黑" w:eastAsia="思源黑体"/>
                        <w:b/>
                        <w:color w:val="FFFFFF"/>
                        <w:sz w:val="28"/>
                      </w:rPr>
                      <w:instrText xml:space="preserve"> DOCPROPERTY  columnname </w:instrText>
                    </w:r>
                    <w:r>
                      <w:rPr>
                        <w:rFonts w:hint="eastAsia" w:ascii="思源黑体" w:hAnsi="微软雅黑" w:eastAsia="思源黑体"/>
                        <w:b/>
                        <w:color w:val="FFFFFF"/>
                        <w:sz w:val="28"/>
                      </w:rPr>
                      <w:fldChar w:fldCharType="separate"/>
                    </w:r>
                    <w:r>
                      <w:rPr>
                        <w:rFonts w:hint="eastAsia" w:ascii="思源黑体" w:hAnsi="微软雅黑" w:eastAsia="思源黑体"/>
                        <w:b/>
                        <w:color w:val="FFFFFF"/>
                        <w:sz w:val="28"/>
                      </w:rPr>
                      <w:t>东海研究</w:t>
                    </w:r>
                    <w:r>
                      <w:rPr>
                        <w:rFonts w:hint="eastAsia" w:ascii="思源黑体" w:hAnsi="微软雅黑" w:eastAsia="思源黑体"/>
                        <w:b/>
                        <w:color w:val="FFFFFF"/>
                        <w:sz w:val="28"/>
                      </w:rPr>
                      <w:fldChar w:fldCharType="end"/>
                    </w:r>
                  </w:p>
                </w:txbxContent>
              </v:textbox>
            </v:rect>
          </w:pict>
        </mc:Fallback>
      </mc:AlternateContent>
    </w:r>
    <w:r>
      <w:rPr>
        <w:sz w:val="20"/>
        <w:szCs w:val="20"/>
      </w:rPr>
      <w:drawing>
        <wp:anchor distT="0" distB="0" distL="0" distR="0" simplePos="0" relativeHeight="251666432" behindDoc="0" locked="0" layoutInCell="1" allowOverlap="1">
          <wp:simplePos x="0" y="0"/>
          <wp:positionH relativeFrom="margin">
            <wp:align>right</wp:align>
          </wp:positionH>
          <wp:positionV relativeFrom="paragraph">
            <wp:posOffset>-235585</wp:posOffset>
          </wp:positionV>
          <wp:extent cx="2057400" cy="578485"/>
          <wp:effectExtent l="0" t="0" r="0" b="0"/>
          <wp:wrapNone/>
          <wp:docPr id="4106" name="图片 2" descr="小龙彩"/>
          <wp:cNvGraphicFramePr/>
          <a:graphic xmlns:a="http://schemas.openxmlformats.org/drawingml/2006/main">
            <a:graphicData uri="http://schemas.openxmlformats.org/drawingml/2006/picture">
              <pic:pic xmlns:pic="http://schemas.openxmlformats.org/drawingml/2006/picture">
                <pic:nvPicPr>
                  <pic:cNvPr id="4106" name="图片 2" descr="小龙彩"/>
                  <pic:cNvPicPr/>
                </pic:nvPicPr>
                <pic:blipFill>
                  <a:blip r:embed="rId1" cstate="print"/>
                  <a:srcRect/>
                  <a:stretch>
                    <a:fillRect/>
                  </a:stretch>
                </pic:blipFill>
                <pic:spPr>
                  <a:xfrm>
                    <a:off x="0" y="0"/>
                    <a:ext cx="2057400" cy="578485"/>
                  </a:xfrm>
                  <a:prstGeom prst="rect">
                    <a:avLst/>
                  </a:prstGeom>
                  <a:ln>
                    <a:noFill/>
                  </a:ln>
                </pic:spPr>
              </pic:pic>
            </a:graphicData>
          </a:graphic>
        </wp:anchor>
      </w:drawing>
    </w:r>
    <w:r>
      <mc:AlternateContent>
        <mc:Choice Requires="wpg">
          <w:drawing>
            <wp:anchor distT="0" distB="0" distL="0" distR="0" simplePos="0" relativeHeight="251667456" behindDoc="0" locked="0" layoutInCell="1" allowOverlap="1">
              <wp:simplePos x="0" y="0"/>
              <wp:positionH relativeFrom="margin">
                <wp:posOffset>-608330</wp:posOffset>
              </wp:positionH>
              <wp:positionV relativeFrom="paragraph">
                <wp:posOffset>493395</wp:posOffset>
              </wp:positionV>
              <wp:extent cx="7106285" cy="107950"/>
              <wp:effectExtent l="0" t="0" r="0" b="6350"/>
              <wp:wrapNone/>
              <wp:docPr id="4107" name="组合 25"/>
              <wp:cNvGraphicFramePr/>
              <a:graphic xmlns:a="http://schemas.openxmlformats.org/drawingml/2006/main">
                <a:graphicData uri="http://schemas.microsoft.com/office/word/2010/wordprocessingGroup">
                  <wpg:wgp>
                    <wpg:cNvGrpSpPr/>
                    <wpg:grpSpPr>
                      <a:xfrm>
                        <a:off x="0" y="0"/>
                        <a:ext cx="7106285" cy="107950"/>
                        <a:chOff x="0" y="0"/>
                        <a:chExt cx="7167403" cy="87630"/>
                      </a:xfrm>
                    </wpg:grpSpPr>
                    <wps:wsp>
                      <wps:cNvPr id="3" name="矩形 3"/>
                      <wps:cNvSpPr/>
                      <wps:spPr>
                        <a:xfrm>
                          <a:off x="0" y="25876"/>
                          <a:ext cx="3590925" cy="59690"/>
                        </a:xfrm>
                        <a:prstGeom prst="rect">
                          <a:avLst/>
                        </a:prstGeom>
                        <a:solidFill>
                          <a:srgbClr val="0D4081"/>
                        </a:solidFill>
                        <a:ln>
                          <a:noFill/>
                        </a:ln>
                        <a:effectLst>
                          <a:softEdge rad="12700"/>
                        </a:effectLst>
                      </wps:spPr>
                      <wps:bodyPr/>
                    </wps:wsp>
                    <wps:wsp>
                      <wps:cNvPr id="4" name="任意多边形 4"/>
                      <wps:cNvSpPr/>
                      <wps:spPr>
                        <a:xfrm rot="16200000">
                          <a:off x="5263832" y="-1815941"/>
                          <a:ext cx="87630" cy="3719512"/>
                        </a:xfrm>
                        <a:custGeom>
                          <a:avLst/>
                          <a:gdLst/>
                          <a:ahLst/>
                          <a:cxnLst/>
                          <a:rect l="l" t="t" r="r" b="b"/>
                          <a:pathLst>
                            <a:path w="10000" h="10000">
                              <a:moveTo>
                                <a:pt x="0" y="0"/>
                              </a:moveTo>
                              <a:lnTo>
                                <a:pt x="10000" y="366"/>
                              </a:lnTo>
                              <a:lnTo>
                                <a:pt x="10000" y="10000"/>
                              </a:lnTo>
                              <a:lnTo>
                                <a:pt x="0" y="10000"/>
                              </a:lnTo>
                              <a:lnTo>
                                <a:pt x="0" y="0"/>
                              </a:lnTo>
                              <a:close/>
                            </a:path>
                          </a:pathLst>
                        </a:custGeom>
                        <a:solidFill>
                          <a:srgbClr val="AE0C21"/>
                        </a:solidFill>
                        <a:ln>
                          <a:noFill/>
                        </a:ln>
                        <a:effectLst>
                          <a:softEdge rad="12700"/>
                        </a:effectLst>
                      </wps:spPr>
                      <wps:bodyPr/>
                    </wps:wsp>
                  </wpg:wgp>
                </a:graphicData>
              </a:graphic>
            </wp:anchor>
          </w:drawing>
        </mc:Choice>
        <mc:Fallback>
          <w:pict>
            <v:group id="组合 25" o:spid="_x0000_s1026" o:spt="203" style="position:absolute;left:0pt;margin-left:-47.9pt;margin-top:38.85pt;height:8.5pt;width:559.55pt;mso-position-horizontal-relative:margin;z-index:251667456;mso-width-relative:page;mso-height-relative:page;" coordsize="7167403,87630" o:gfxdata="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zBzLTdsAAAAKAQAADwAAAAAAAAABACAAAAAiAAAAZHJzL2Rvd25yZXYueG1sUEsB&#10;AhQAFAAAAAgAh07iQG9OaQwPAwAAzQcAAA4AAAAAAAAAAQAgAAAAKgEAAGRycy9lMm9Eb2MueG1s&#10;UEsFBgAAAAAGAAYAWQEAAKsGAAAAAA==&#10;">
              <o:lock v:ext="edit" aspectratio="f"/>
              <v:rect id="_x0000_s1026" o:spid="_x0000_s1026" o:spt="1" style="position:absolute;left:0;top:25876;height:59690;width:3590925;" fillcolor="#0D4081" filled="t" stroked="f" coordsize="21600,21600" o:gfxdata="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ZE/rsAAADa&#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5263832;top:-1815941;height:3719512;width:87630;rotation:-5898240f;" fillcolor="#AE0C21" filled="t" stroked="f" coordsize="10000,10000" o:gfxdata="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DV2vQAA&#10;ANoAAAAPAAAAAAAAAAEAIAAAACIAAABkcnMvZG93bnJldi54bWxQSwECFAAUAAAACACHTuJAMy8F&#10;njsAAAA5AAAAEAAAAAAAAAABACAAAAAMAQAAZHJzL3NoYXBleG1sLnhtbFBLBQYAAAAABgAGAFsB&#10;AAC2AwAAAAA=&#10;" path="m0,0l10000,366,10000,10000,0,10000,0,0xe">
                <v:fill on="t" focussize="0,0"/>
                <v:stroke on="f"/>
                <v:imagedata o:title=""/>
                <o:lock v:ext="edit" aspectratio="f"/>
              </v:shape>
            </v:group>
          </w:pict>
        </mc:Fallback>
      </mc:AlternateContent>
    </w:r>
    <w:r>
      <mc:AlternateContent>
        <mc:Choice Requires="wps">
          <w:drawing>
            <wp:anchor distT="0" distB="0" distL="0" distR="0" simplePos="0" relativeHeight="251668480" behindDoc="1" locked="0" layoutInCell="1" allowOverlap="1">
              <wp:simplePos x="0" y="0"/>
              <wp:positionH relativeFrom="page">
                <wp:posOffset>191135</wp:posOffset>
              </wp:positionH>
              <wp:positionV relativeFrom="page">
                <wp:posOffset>1231265</wp:posOffset>
              </wp:positionV>
              <wp:extent cx="464185" cy="1805940"/>
              <wp:effectExtent l="0" t="0" r="12065" b="3810"/>
              <wp:wrapNone/>
              <wp:docPr id="4110" name="文本框 2"/>
              <wp:cNvGraphicFramePr/>
              <a:graphic xmlns:a="http://schemas.openxmlformats.org/drawingml/2006/main">
                <a:graphicData uri="http://schemas.microsoft.com/office/word/2010/wordprocessingShape">
                  <wps:wsp>
                    <wps:cNvSpPr/>
                    <wps:spPr>
                      <a:xfrm>
                        <a:off x="0" y="0"/>
                        <a:ext cx="464184" cy="1805939"/>
                      </a:xfrm>
                      <a:prstGeom prst="rect">
                        <a:avLst/>
                      </a:prstGeom>
                      <a:solidFill>
                        <a:srgbClr val="0D4081"/>
                      </a:solidFill>
                      <a:ln>
                        <a:noFill/>
                      </a:ln>
                    </wps:spPr>
                    <wps:txbx>
                      <w:txbxContent>
                        <w:p>
                          <w:pPr>
                            <w:rPr>
                              <w:rFonts w:ascii="思源黑体" w:hAnsi="微软雅黑" w:eastAsia="思源黑体"/>
                              <w:b/>
                              <w:color w:val="FFFFFF"/>
                              <w:sz w:val="28"/>
                            </w:rPr>
                          </w:pPr>
                          <w:r>
                            <w:rPr>
                              <w:rFonts w:hint="eastAsia" w:ascii="思源黑体" w:hAnsi="微软雅黑" w:eastAsia="思源黑体"/>
                              <w:b/>
                              <w:color w:val="FFFFFF"/>
                              <w:sz w:val="28"/>
                            </w:rPr>
                            <w:t>研究所晨会观点精萃</w:t>
                          </w:r>
                        </w:p>
                      </w:txbxContent>
                    </wps:txbx>
                    <wps:bodyPr vert="eaVert" wrap="square" lIns="91440" tIns="45720" rIns="91440" bIns="45720" anchor="t">
                      <a:noAutofit/>
                    </wps:bodyPr>
                  </wps:wsp>
                </a:graphicData>
              </a:graphic>
            </wp:anchor>
          </w:drawing>
        </mc:Choice>
        <mc:Fallback>
          <w:pict>
            <v:rect id="文本框 2" o:spid="_x0000_s1026" o:spt="1" style="position:absolute;left:0pt;margin-left:15.05pt;margin-top:96.95pt;height:142.2pt;width:36.55pt;mso-position-horizontal-relative:page;mso-position-vertical-relative:page;z-index:-251648000;mso-width-relative:page;mso-height-relative:page;" fillcolor="#0D4081" filled="t" stroked="f" coordsize="21600,21600" o:gfxdata="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5K1MV2QAAAAoBAAAPAAAAAAAAAAEAIAAAACIAAABkcnMvZG93bnJldi54bWxQSwEC&#10;FAAUAAAACACHTuJA2EGuy/MBAADZAwAADgAAAAAAAAABACAAAAAoAQAAZHJzL2Uyb0RvYy54bWxQ&#10;SwUGAAAAAAYABgBZAQAAjQUAAAAA&#10;">
              <v:fill on="t" focussize="0,0"/>
              <v:stroke on="f"/>
              <v:imagedata o:title=""/>
              <o:lock v:ext="edit" aspectratio="f"/>
              <v:textbox style="layout-flow:vertical-ideographic;">
                <w:txbxContent>
                  <w:p>
                    <w:pPr>
                      <w:rPr>
                        <w:rFonts w:ascii="思源黑体" w:hAnsi="微软雅黑" w:eastAsia="思源黑体"/>
                        <w:b/>
                        <w:color w:val="FFFFFF"/>
                        <w:sz w:val="28"/>
                      </w:rPr>
                    </w:pPr>
                    <w:r>
                      <w:rPr>
                        <w:rFonts w:hint="eastAsia" w:ascii="思源黑体" w:hAnsi="微软雅黑" w:eastAsia="思源黑体"/>
                        <w:b/>
                        <w:color w:val="FFFFFF"/>
                        <w:sz w:val="28"/>
                      </w:rPr>
                      <w:t>研究所晨会观点精萃</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pPr>
    <w:r>
      <w:rPr>
        <w:sz w:val="20"/>
        <w:szCs w:val="20"/>
      </w:rPr>
      <w:drawing>
        <wp:anchor distT="0" distB="0" distL="0" distR="0" simplePos="0" relativeHeight="251672576" behindDoc="0" locked="0" layoutInCell="1" allowOverlap="1">
          <wp:simplePos x="0" y="0"/>
          <wp:positionH relativeFrom="margin">
            <wp:posOffset>5819140</wp:posOffset>
          </wp:positionH>
          <wp:positionV relativeFrom="paragraph">
            <wp:posOffset>-168275</wp:posOffset>
          </wp:positionV>
          <wp:extent cx="1219200" cy="342900"/>
          <wp:effectExtent l="0" t="0" r="0" b="0"/>
          <wp:wrapNone/>
          <wp:docPr id="4116" name="图片 2" descr="小龙彩"/>
          <wp:cNvGraphicFramePr/>
          <a:graphic xmlns:a="http://schemas.openxmlformats.org/drawingml/2006/main">
            <a:graphicData uri="http://schemas.openxmlformats.org/drawingml/2006/picture">
              <pic:pic xmlns:pic="http://schemas.openxmlformats.org/drawingml/2006/picture">
                <pic:nvPicPr>
                  <pic:cNvPr id="4116" name="图片 2" descr="小龙彩"/>
                  <pic:cNvPicPr/>
                </pic:nvPicPr>
                <pic:blipFill>
                  <a:blip r:embed="rId1" cstate="print"/>
                  <a:srcRect/>
                  <a:stretch>
                    <a:fillRect/>
                  </a:stretch>
                </pic:blipFill>
                <pic:spPr>
                  <a:xfrm>
                    <a:off x="0" y="0"/>
                    <a:ext cx="1219200" cy="342900"/>
                  </a:xfrm>
                  <a:prstGeom prst="rect">
                    <a:avLst/>
                  </a:prstGeom>
                  <a:ln>
                    <a:noFill/>
                  </a:ln>
                </pic:spPr>
              </pic:pic>
            </a:graphicData>
          </a:graphic>
        </wp:anchor>
      </w:drawing>
    </w:r>
    <w:r>
      <mc:AlternateContent>
        <mc:Choice Requires="wpg">
          <w:drawing>
            <wp:anchor distT="0" distB="0" distL="0" distR="0" simplePos="0" relativeHeight="251671552" behindDoc="0" locked="0" layoutInCell="1" allowOverlap="1">
              <wp:simplePos x="0" y="0"/>
              <wp:positionH relativeFrom="page">
                <wp:posOffset>360045</wp:posOffset>
              </wp:positionH>
              <wp:positionV relativeFrom="page">
                <wp:posOffset>720090</wp:posOffset>
              </wp:positionV>
              <wp:extent cx="7106285" cy="107950"/>
              <wp:effectExtent l="0" t="0" r="0" b="6350"/>
              <wp:wrapNone/>
              <wp:docPr id="4113" name="组合 15"/>
              <wp:cNvGraphicFramePr/>
              <a:graphic xmlns:a="http://schemas.openxmlformats.org/drawingml/2006/main">
                <a:graphicData uri="http://schemas.microsoft.com/office/word/2010/wordprocessingGroup">
                  <wpg:wgp>
                    <wpg:cNvGrpSpPr/>
                    <wpg:grpSpPr>
                      <a:xfrm>
                        <a:off x="0" y="0"/>
                        <a:ext cx="7106285" cy="107949"/>
                        <a:chOff x="0" y="0"/>
                        <a:chExt cx="7167403" cy="87630"/>
                      </a:xfrm>
                    </wpg:grpSpPr>
                    <wps:wsp>
                      <wps:cNvPr id="5" name="矩形 5"/>
                      <wps:cNvSpPr/>
                      <wps:spPr>
                        <a:xfrm>
                          <a:off x="0" y="25876"/>
                          <a:ext cx="3590925" cy="59690"/>
                        </a:xfrm>
                        <a:prstGeom prst="rect">
                          <a:avLst/>
                        </a:prstGeom>
                        <a:solidFill>
                          <a:srgbClr val="0D4081"/>
                        </a:solidFill>
                        <a:ln>
                          <a:noFill/>
                        </a:ln>
                        <a:effectLst>
                          <a:softEdge rad="12700"/>
                        </a:effectLst>
                      </wps:spPr>
                      <wps:bodyPr/>
                    </wps:wsp>
                    <wps:wsp>
                      <wps:cNvPr id="6" name="任意多边形 6"/>
                      <wps:cNvSpPr/>
                      <wps:spPr>
                        <a:xfrm rot="16200000">
                          <a:off x="5263832" y="-1815941"/>
                          <a:ext cx="87630" cy="3719512"/>
                        </a:xfrm>
                        <a:custGeom>
                          <a:avLst/>
                          <a:gdLst/>
                          <a:ahLst/>
                          <a:cxnLst/>
                          <a:rect l="l" t="t" r="r" b="b"/>
                          <a:pathLst>
                            <a:path w="10000" h="10000">
                              <a:moveTo>
                                <a:pt x="0" y="0"/>
                              </a:moveTo>
                              <a:lnTo>
                                <a:pt x="10000" y="366"/>
                              </a:lnTo>
                              <a:lnTo>
                                <a:pt x="10000" y="10000"/>
                              </a:lnTo>
                              <a:lnTo>
                                <a:pt x="0" y="10000"/>
                              </a:lnTo>
                              <a:lnTo>
                                <a:pt x="0" y="0"/>
                              </a:lnTo>
                              <a:close/>
                            </a:path>
                          </a:pathLst>
                        </a:custGeom>
                        <a:solidFill>
                          <a:srgbClr val="AE0C21"/>
                        </a:solidFill>
                        <a:ln>
                          <a:noFill/>
                        </a:ln>
                        <a:effectLst>
                          <a:softEdge rad="12700"/>
                        </a:effectLst>
                      </wps:spPr>
                      <wps:bodyPr/>
                    </wps:wsp>
                  </wpg:wgp>
                </a:graphicData>
              </a:graphic>
            </wp:anchor>
          </w:drawing>
        </mc:Choice>
        <mc:Fallback>
          <w:pict>
            <v:group id="组合 15" o:spid="_x0000_s1026" o:spt="203" style="position:absolute;left:0pt;margin-left:28.35pt;margin-top:56.7pt;height:8.5pt;width:559.55pt;mso-position-horizontal-relative:page;mso-position-vertical-relative:page;z-index:251671552;mso-width-relative:page;mso-height-relative:page;" coordsize="7167403,87630" o:gfxdata="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CmmRmnaAAAACwEAAA8AAAAAAAAAAQAgAAAAIgAAAGRycy9kb3ducmV2Lnht&#10;bFBLAQIUABQAAAAIAIdO4kDgtdZLFAMAAM0HAAAOAAAAAAAAAAEAIAAAACkBAABkcnMvZTJvRG9j&#10;LnhtbFBLBQYAAAAABgAGAFkBAACvBgAAAAA=&#10;">
              <o:lock v:ext="edit" aspectratio="f"/>
              <v:rect id="_x0000_s1026" o:spid="_x0000_s1026" o:spt="1" style="position:absolute;left:0;top:25876;height:59690;width:3590925;" fillcolor="#0D4081" filled="t" stroked="f" coordsize="21600,21600" o:gfxdata="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N5EbsAAADa&#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5263832;top:-1815941;height:3719512;width:87630;rotation:-5898240f;" fillcolor="#AE0C21" filled="t" stroked="f" coordsize="10000,10000" o:gfxdata="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YOmr4A&#10;AADaAAAADwAAAAAAAAABACAAAAAiAAAAZHJzL2Rvd25yZXYueG1sUEsBAhQAFAAAAAgAh07iQDMv&#10;BZ47AAAAOQAAABAAAAAAAAAAAQAgAAAADQEAAGRycy9zaGFwZXhtbC54bWxQSwUGAAAAAAYABgBb&#10;AQAAtwMAAAAA&#10;" path="m0,0l10000,366,10000,10000,0,10000,0,0xe">
                <v:fill on="t" focussize="0,0"/>
                <v:stroke on="f"/>
                <v:imagedata o:title=""/>
                <o:lock v:ext="edit" aspectratio="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pStyle w:val="42"/>
      <w:suff w:val="nothing"/>
      <w:lvlText w:val="%1."/>
      <w:lvlJc w:val="left"/>
      <w:pPr>
        <w:ind w:left="0" w:firstLine="0"/>
      </w:pPr>
      <w:rPr>
        <w:rFonts w:hint="eastAsia"/>
      </w:rPr>
    </w:lvl>
    <w:lvl w:ilvl="1" w:tentative="0">
      <w:start w:val="1"/>
      <w:numFmt w:val="decimal"/>
      <w:pStyle w:val="44"/>
      <w:suff w:val="nothing"/>
      <w:lvlText w:val="%1.%2."/>
      <w:lvlJc w:val="left"/>
      <w:pPr>
        <w:ind w:left="0" w:firstLine="0"/>
      </w:pPr>
      <w:rPr>
        <w:rFonts w:hint="eastAsia"/>
      </w:rPr>
    </w:lvl>
    <w:lvl w:ilvl="2" w:tentative="0">
      <w:start w:val="1"/>
      <w:numFmt w:val="decimal"/>
      <w:pStyle w:val="45"/>
      <w:suff w:val="nothing"/>
      <w:lvlText w:val="%1.%2.%3."/>
      <w:lvlJc w:val="left"/>
      <w:pPr>
        <w:ind w:left="0" w:firstLine="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1"/>
    <w:multiLevelType w:val="multilevel"/>
    <w:tmpl w:val="00000001"/>
    <w:lvl w:ilvl="0" w:tentative="0">
      <w:start w:val="1"/>
      <w:numFmt w:val="decimal"/>
      <w:pStyle w:val="37"/>
      <w:suff w:val="space"/>
      <w:lvlText w:val="图%1 "/>
      <w:lvlJc w:val="left"/>
      <w:pPr>
        <w:ind w:left="0" w:firstLine="0"/>
      </w:pPr>
      <w:rPr>
        <w:rFonts w:hint="eastAsia"/>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2">
    <w:nsid w:val="00000002"/>
    <w:multiLevelType w:val="multilevel"/>
    <w:tmpl w:val="00000002"/>
    <w:lvl w:ilvl="0" w:tentative="0">
      <w:start w:val="1"/>
      <w:numFmt w:val="bullet"/>
      <w:pStyle w:val="27"/>
      <w:lvlText w:val=""/>
      <w:lvlJc w:val="left"/>
      <w:pPr>
        <w:ind w:left="272" w:hanging="272"/>
      </w:p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0000003"/>
    <w:multiLevelType w:val="multilevel"/>
    <w:tmpl w:val="00000003"/>
    <w:lvl w:ilvl="0" w:tentative="0">
      <w:start w:val="1"/>
      <w:numFmt w:val="decimal"/>
      <w:pStyle w:val="38"/>
      <w:suff w:val="space"/>
      <w:lvlText w:val="表%1 "/>
      <w:lvlJc w:val="left"/>
      <w:pPr>
        <w:ind w:left="0" w:firstLine="0"/>
      </w:pPr>
      <w:rPr>
        <w:rFonts w:hint="eastAsia"/>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4">
    <w:nsid w:val="00000004"/>
    <w:multiLevelType w:val="multilevel"/>
    <w:tmpl w:val="00000004"/>
    <w:lvl w:ilvl="0" w:tentative="0">
      <w:start w:val="1"/>
      <w:numFmt w:val="bullet"/>
      <w:pStyle w:val="47"/>
      <w:suff w:val="nothing"/>
      <w:lvlText w:val=""/>
      <w:lvlJc w:val="left"/>
      <w:pPr>
        <w:ind w:left="227" w:hanging="227"/>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0000005"/>
    <w:multiLevelType w:val="multilevel"/>
    <w:tmpl w:val="00000005"/>
    <w:lvl w:ilvl="0" w:tentative="0">
      <w:start w:val="1"/>
      <w:numFmt w:val="decimal"/>
      <w:pStyle w:val="32"/>
      <w:suff w:val="nothing"/>
      <w:lvlText w:val="%1."/>
      <w:lvlJc w:val="left"/>
      <w:pPr>
        <w:ind w:left="0" w:firstLine="0"/>
      </w:pPr>
      <w:rPr>
        <w:rFonts w:hint="eastAsia"/>
      </w:rPr>
    </w:lvl>
    <w:lvl w:ilvl="1" w:tentative="0">
      <w:start w:val="1"/>
      <w:numFmt w:val="decimal"/>
      <w:pStyle w:val="33"/>
      <w:suff w:val="nothing"/>
      <w:lvlText w:val="%1.%2."/>
      <w:lvlJc w:val="left"/>
      <w:pPr>
        <w:ind w:left="0" w:firstLine="0"/>
      </w:pPr>
      <w:rPr>
        <w:rFonts w:hint="eastAsia"/>
      </w:rPr>
    </w:lvl>
    <w:lvl w:ilvl="2" w:tentative="0">
      <w:start w:val="1"/>
      <w:numFmt w:val="decimal"/>
      <w:pStyle w:val="34"/>
      <w:suff w:val="nothing"/>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xY2JlNjU3MjAwYWJlNDRmNmUyM2E1MTViMTJkZGQifQ=="/>
  </w:docVars>
  <w:rsids>
    <w:rsidRoot w:val="001879DE"/>
    <w:rsid w:val="000A51C6"/>
    <w:rsid w:val="000B7024"/>
    <w:rsid w:val="000D1336"/>
    <w:rsid w:val="0014431B"/>
    <w:rsid w:val="00170FE2"/>
    <w:rsid w:val="00187147"/>
    <w:rsid w:val="001879DE"/>
    <w:rsid w:val="0021766E"/>
    <w:rsid w:val="00344499"/>
    <w:rsid w:val="003C3A6D"/>
    <w:rsid w:val="003F6C17"/>
    <w:rsid w:val="004172DF"/>
    <w:rsid w:val="00417E84"/>
    <w:rsid w:val="00440419"/>
    <w:rsid w:val="00450DC6"/>
    <w:rsid w:val="0046694D"/>
    <w:rsid w:val="005006F4"/>
    <w:rsid w:val="005858DC"/>
    <w:rsid w:val="0059183F"/>
    <w:rsid w:val="005A1BA9"/>
    <w:rsid w:val="005F08A6"/>
    <w:rsid w:val="006053DC"/>
    <w:rsid w:val="00617C9A"/>
    <w:rsid w:val="00620757"/>
    <w:rsid w:val="00650EEE"/>
    <w:rsid w:val="007021CF"/>
    <w:rsid w:val="00724FDB"/>
    <w:rsid w:val="007E5EE5"/>
    <w:rsid w:val="0080496C"/>
    <w:rsid w:val="008C7FF6"/>
    <w:rsid w:val="008F3B97"/>
    <w:rsid w:val="009E060F"/>
    <w:rsid w:val="009E2238"/>
    <w:rsid w:val="00A04E8C"/>
    <w:rsid w:val="00A403AF"/>
    <w:rsid w:val="00A5383F"/>
    <w:rsid w:val="00B4739B"/>
    <w:rsid w:val="00B849A6"/>
    <w:rsid w:val="00C40BDF"/>
    <w:rsid w:val="00C8142C"/>
    <w:rsid w:val="00CB4C84"/>
    <w:rsid w:val="00CB4D28"/>
    <w:rsid w:val="00CE085A"/>
    <w:rsid w:val="00D0393F"/>
    <w:rsid w:val="00D46A5A"/>
    <w:rsid w:val="00D47DC9"/>
    <w:rsid w:val="00D569C9"/>
    <w:rsid w:val="00D6078A"/>
    <w:rsid w:val="00DD376B"/>
    <w:rsid w:val="00E03044"/>
    <w:rsid w:val="00E41C00"/>
    <w:rsid w:val="00E4619D"/>
    <w:rsid w:val="00E47CBF"/>
    <w:rsid w:val="00E70ED8"/>
    <w:rsid w:val="00E82D9E"/>
    <w:rsid w:val="00EE0F95"/>
    <w:rsid w:val="00EF7BD0"/>
    <w:rsid w:val="00FA4C7B"/>
    <w:rsid w:val="010A5E9D"/>
    <w:rsid w:val="010F3B4F"/>
    <w:rsid w:val="01204FE7"/>
    <w:rsid w:val="01582BC2"/>
    <w:rsid w:val="017659F6"/>
    <w:rsid w:val="01FC1263"/>
    <w:rsid w:val="01FC36D0"/>
    <w:rsid w:val="020C1176"/>
    <w:rsid w:val="024873C8"/>
    <w:rsid w:val="02D91185"/>
    <w:rsid w:val="03190625"/>
    <w:rsid w:val="03250BB4"/>
    <w:rsid w:val="03254437"/>
    <w:rsid w:val="03E66A74"/>
    <w:rsid w:val="044B2E68"/>
    <w:rsid w:val="04B425C4"/>
    <w:rsid w:val="04F23C97"/>
    <w:rsid w:val="05E23036"/>
    <w:rsid w:val="07153E89"/>
    <w:rsid w:val="071830B3"/>
    <w:rsid w:val="074D6535"/>
    <w:rsid w:val="084D768D"/>
    <w:rsid w:val="087D271E"/>
    <w:rsid w:val="08A763D9"/>
    <w:rsid w:val="08C76272"/>
    <w:rsid w:val="09503FD7"/>
    <w:rsid w:val="09884131"/>
    <w:rsid w:val="0A320528"/>
    <w:rsid w:val="0A4B3E6F"/>
    <w:rsid w:val="0B1A79AF"/>
    <w:rsid w:val="0B1C1FC9"/>
    <w:rsid w:val="0B4E3A9D"/>
    <w:rsid w:val="0B673342"/>
    <w:rsid w:val="0C115D59"/>
    <w:rsid w:val="0C2351AD"/>
    <w:rsid w:val="0C4E7DBD"/>
    <w:rsid w:val="0C6C4026"/>
    <w:rsid w:val="0CA5797A"/>
    <w:rsid w:val="0DCE1034"/>
    <w:rsid w:val="0DD77C44"/>
    <w:rsid w:val="0E737AC2"/>
    <w:rsid w:val="0F0F5662"/>
    <w:rsid w:val="10170173"/>
    <w:rsid w:val="10383F2B"/>
    <w:rsid w:val="103F0549"/>
    <w:rsid w:val="10404ECD"/>
    <w:rsid w:val="10BF5108"/>
    <w:rsid w:val="10D053A3"/>
    <w:rsid w:val="11E85E6F"/>
    <w:rsid w:val="12F450A8"/>
    <w:rsid w:val="130030B9"/>
    <w:rsid w:val="13141D5A"/>
    <w:rsid w:val="13277E44"/>
    <w:rsid w:val="134273A6"/>
    <w:rsid w:val="13877F19"/>
    <w:rsid w:val="14AA6363"/>
    <w:rsid w:val="15C701C1"/>
    <w:rsid w:val="16352BFB"/>
    <w:rsid w:val="17593C0E"/>
    <w:rsid w:val="176026E9"/>
    <w:rsid w:val="17E02DA6"/>
    <w:rsid w:val="17ED7D87"/>
    <w:rsid w:val="183B26AC"/>
    <w:rsid w:val="18584E7F"/>
    <w:rsid w:val="18AA1406"/>
    <w:rsid w:val="18C55420"/>
    <w:rsid w:val="18F37F3A"/>
    <w:rsid w:val="1906629D"/>
    <w:rsid w:val="190C23A4"/>
    <w:rsid w:val="19735F92"/>
    <w:rsid w:val="19B0586E"/>
    <w:rsid w:val="19D03A09"/>
    <w:rsid w:val="1A122C97"/>
    <w:rsid w:val="1B8C4D27"/>
    <w:rsid w:val="1C7C6848"/>
    <w:rsid w:val="1C9B22E3"/>
    <w:rsid w:val="1CE57297"/>
    <w:rsid w:val="1DDA5D11"/>
    <w:rsid w:val="1EDB2FE2"/>
    <w:rsid w:val="1EE13BBC"/>
    <w:rsid w:val="1F0734E7"/>
    <w:rsid w:val="1F9D516C"/>
    <w:rsid w:val="1FDC66BC"/>
    <w:rsid w:val="1FE11020"/>
    <w:rsid w:val="1FE32F45"/>
    <w:rsid w:val="20282B52"/>
    <w:rsid w:val="202A6055"/>
    <w:rsid w:val="20404975"/>
    <w:rsid w:val="20824940"/>
    <w:rsid w:val="20DB0011"/>
    <w:rsid w:val="2118245A"/>
    <w:rsid w:val="212B3BED"/>
    <w:rsid w:val="21805301"/>
    <w:rsid w:val="22D55C33"/>
    <w:rsid w:val="244E0133"/>
    <w:rsid w:val="25B427E8"/>
    <w:rsid w:val="25DE362C"/>
    <w:rsid w:val="26914755"/>
    <w:rsid w:val="26B75F6B"/>
    <w:rsid w:val="26F81B7B"/>
    <w:rsid w:val="272571C7"/>
    <w:rsid w:val="27A27E15"/>
    <w:rsid w:val="28165C87"/>
    <w:rsid w:val="290851A4"/>
    <w:rsid w:val="292C0EFE"/>
    <w:rsid w:val="296C2904"/>
    <w:rsid w:val="29940245"/>
    <w:rsid w:val="29B25EA3"/>
    <w:rsid w:val="29CC039F"/>
    <w:rsid w:val="2A2036AC"/>
    <w:rsid w:val="2A285235"/>
    <w:rsid w:val="2AE50D84"/>
    <w:rsid w:val="2AF911D1"/>
    <w:rsid w:val="2B5946AE"/>
    <w:rsid w:val="2BEE583F"/>
    <w:rsid w:val="2BEE590B"/>
    <w:rsid w:val="2C6401ED"/>
    <w:rsid w:val="2D354EB8"/>
    <w:rsid w:val="2D5C2B7A"/>
    <w:rsid w:val="2DD2603B"/>
    <w:rsid w:val="2ED27DE6"/>
    <w:rsid w:val="2EFF36B1"/>
    <w:rsid w:val="302B4F16"/>
    <w:rsid w:val="30680877"/>
    <w:rsid w:val="31191ACB"/>
    <w:rsid w:val="31984B75"/>
    <w:rsid w:val="31A11C7A"/>
    <w:rsid w:val="32371F62"/>
    <w:rsid w:val="333A261A"/>
    <w:rsid w:val="34825E35"/>
    <w:rsid w:val="34D64457"/>
    <w:rsid w:val="34DF2A86"/>
    <w:rsid w:val="34F05A91"/>
    <w:rsid w:val="36823E86"/>
    <w:rsid w:val="36C4260E"/>
    <w:rsid w:val="37227682"/>
    <w:rsid w:val="3748403E"/>
    <w:rsid w:val="37A24786"/>
    <w:rsid w:val="381A0618"/>
    <w:rsid w:val="38433CF6"/>
    <w:rsid w:val="38504871"/>
    <w:rsid w:val="386A6F8E"/>
    <w:rsid w:val="39C678D5"/>
    <w:rsid w:val="3B551E8B"/>
    <w:rsid w:val="3BA5016B"/>
    <w:rsid w:val="3C907D69"/>
    <w:rsid w:val="3CEC54EB"/>
    <w:rsid w:val="3D744C49"/>
    <w:rsid w:val="3D8E7E7B"/>
    <w:rsid w:val="3DF641B8"/>
    <w:rsid w:val="3E5E28E2"/>
    <w:rsid w:val="3F16680E"/>
    <w:rsid w:val="3F8B2050"/>
    <w:rsid w:val="3FC0524C"/>
    <w:rsid w:val="40227C45"/>
    <w:rsid w:val="4029260C"/>
    <w:rsid w:val="405A6AF8"/>
    <w:rsid w:val="41B834A9"/>
    <w:rsid w:val="43232E33"/>
    <w:rsid w:val="43592C8A"/>
    <w:rsid w:val="437E5448"/>
    <w:rsid w:val="43B102AA"/>
    <w:rsid w:val="440A589F"/>
    <w:rsid w:val="441C404D"/>
    <w:rsid w:val="44537C5D"/>
    <w:rsid w:val="44790DA8"/>
    <w:rsid w:val="45D1274E"/>
    <w:rsid w:val="46AD3081"/>
    <w:rsid w:val="46D01A2F"/>
    <w:rsid w:val="472674C8"/>
    <w:rsid w:val="473E4B6F"/>
    <w:rsid w:val="47B45E32"/>
    <w:rsid w:val="47D17961"/>
    <w:rsid w:val="47E64083"/>
    <w:rsid w:val="480042D3"/>
    <w:rsid w:val="487E0229"/>
    <w:rsid w:val="48867F11"/>
    <w:rsid w:val="48E02407"/>
    <w:rsid w:val="49BE170B"/>
    <w:rsid w:val="4A65539B"/>
    <w:rsid w:val="4ACB2B41"/>
    <w:rsid w:val="4B4F56F5"/>
    <w:rsid w:val="4BBC594D"/>
    <w:rsid w:val="4CD5656A"/>
    <w:rsid w:val="4CDE6D29"/>
    <w:rsid w:val="4D08596F"/>
    <w:rsid w:val="4D243AAB"/>
    <w:rsid w:val="4D4E60E3"/>
    <w:rsid w:val="4EE82007"/>
    <w:rsid w:val="4FB2475C"/>
    <w:rsid w:val="4FC50CEB"/>
    <w:rsid w:val="50C80BF1"/>
    <w:rsid w:val="510F580A"/>
    <w:rsid w:val="51712691"/>
    <w:rsid w:val="53D10891"/>
    <w:rsid w:val="543212CA"/>
    <w:rsid w:val="54F63F9A"/>
    <w:rsid w:val="55324FD5"/>
    <w:rsid w:val="554F0D02"/>
    <w:rsid w:val="55E61F4A"/>
    <w:rsid w:val="5618220D"/>
    <w:rsid w:val="566F6BDB"/>
    <w:rsid w:val="56C24467"/>
    <w:rsid w:val="57555BD4"/>
    <w:rsid w:val="575C2D70"/>
    <w:rsid w:val="58237526"/>
    <w:rsid w:val="58DE7C59"/>
    <w:rsid w:val="59311C62"/>
    <w:rsid w:val="5977487A"/>
    <w:rsid w:val="59B1153E"/>
    <w:rsid w:val="59FB712C"/>
    <w:rsid w:val="5B37709F"/>
    <w:rsid w:val="5B792E20"/>
    <w:rsid w:val="5C74386D"/>
    <w:rsid w:val="5CC418E7"/>
    <w:rsid w:val="5D053371"/>
    <w:rsid w:val="5D260ECC"/>
    <w:rsid w:val="5DB25A2D"/>
    <w:rsid w:val="5DF07B98"/>
    <w:rsid w:val="60CD73B2"/>
    <w:rsid w:val="61001EB2"/>
    <w:rsid w:val="617B3D7A"/>
    <w:rsid w:val="621124B3"/>
    <w:rsid w:val="622329EE"/>
    <w:rsid w:val="62336B76"/>
    <w:rsid w:val="62371F2F"/>
    <w:rsid w:val="62D1212E"/>
    <w:rsid w:val="62D22D91"/>
    <w:rsid w:val="63133E9C"/>
    <w:rsid w:val="63547812"/>
    <w:rsid w:val="639D2FA3"/>
    <w:rsid w:val="644F5C52"/>
    <w:rsid w:val="647C396F"/>
    <w:rsid w:val="64D11873"/>
    <w:rsid w:val="653E3A25"/>
    <w:rsid w:val="65866818"/>
    <w:rsid w:val="65C32230"/>
    <w:rsid w:val="660F6CFC"/>
    <w:rsid w:val="6624011A"/>
    <w:rsid w:val="665A26EC"/>
    <w:rsid w:val="66C26EF0"/>
    <w:rsid w:val="677020FA"/>
    <w:rsid w:val="67785B6B"/>
    <w:rsid w:val="67BD3540"/>
    <w:rsid w:val="68991C29"/>
    <w:rsid w:val="68A66D41"/>
    <w:rsid w:val="68B735CD"/>
    <w:rsid w:val="691C41AC"/>
    <w:rsid w:val="69311D3D"/>
    <w:rsid w:val="69B15EAA"/>
    <w:rsid w:val="6BB9576B"/>
    <w:rsid w:val="6C0576C7"/>
    <w:rsid w:val="6D42384C"/>
    <w:rsid w:val="6D5A2556"/>
    <w:rsid w:val="6DDF2337"/>
    <w:rsid w:val="6DF945A4"/>
    <w:rsid w:val="6E4F3D89"/>
    <w:rsid w:val="6EA52E15"/>
    <w:rsid w:val="6FCB0CF7"/>
    <w:rsid w:val="6FDC4815"/>
    <w:rsid w:val="6FE3419F"/>
    <w:rsid w:val="6FE82C95"/>
    <w:rsid w:val="700E4C63"/>
    <w:rsid w:val="70C71E93"/>
    <w:rsid w:val="71107281"/>
    <w:rsid w:val="714A1357"/>
    <w:rsid w:val="716D5EA5"/>
    <w:rsid w:val="71A44A93"/>
    <w:rsid w:val="71C40109"/>
    <w:rsid w:val="731A76E0"/>
    <w:rsid w:val="745942EE"/>
    <w:rsid w:val="7499095B"/>
    <w:rsid w:val="74C00C02"/>
    <w:rsid w:val="74C472BA"/>
    <w:rsid w:val="74D25826"/>
    <w:rsid w:val="753374D4"/>
    <w:rsid w:val="7544443B"/>
    <w:rsid w:val="762E09F1"/>
    <w:rsid w:val="76435113"/>
    <w:rsid w:val="76D75987"/>
    <w:rsid w:val="7793351B"/>
    <w:rsid w:val="77D210A2"/>
    <w:rsid w:val="77F74E64"/>
    <w:rsid w:val="77FD7967"/>
    <w:rsid w:val="78260B2C"/>
    <w:rsid w:val="78A459B6"/>
    <w:rsid w:val="79992DC9"/>
    <w:rsid w:val="79DF1182"/>
    <w:rsid w:val="79EF399B"/>
    <w:rsid w:val="7A541141"/>
    <w:rsid w:val="7B634AE6"/>
    <w:rsid w:val="7BDA4256"/>
    <w:rsid w:val="7C7855C3"/>
    <w:rsid w:val="7CAD1FF0"/>
    <w:rsid w:val="7CE314B1"/>
    <w:rsid w:val="7D0B7016"/>
    <w:rsid w:val="7DBC01D8"/>
    <w:rsid w:val="7E132DE5"/>
    <w:rsid w:val="7E6A7F71"/>
    <w:rsid w:val="7EAC2126"/>
    <w:rsid w:val="7ECD5A97"/>
    <w:rsid w:val="7FBC3D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39"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39"/>
    <w:pPr>
      <w:widowControl w:val="0"/>
      <w:jc w:val="both"/>
    </w:pPr>
    <w:rPr>
      <w:rFonts w:ascii="等线" w:hAnsi="等线" w:eastAsia="等线" w:cs="宋体"/>
      <w:kern w:val="2"/>
      <w:sz w:val="21"/>
      <w:szCs w:val="21"/>
      <w:lang w:val="en-US" w:eastAsia="zh-CN" w:bidi="ar-SA"/>
    </w:rPr>
  </w:style>
  <w:style w:type="paragraph" w:styleId="2">
    <w:name w:val="heading 1"/>
    <w:basedOn w:val="1"/>
    <w:next w:val="1"/>
    <w:link w:val="39"/>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0"/>
    <w:autoRedefine/>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41"/>
    <w:autoRedefine/>
    <w:qFormat/>
    <w:uiPriority w:val="9"/>
    <w:pPr>
      <w:keepNext/>
      <w:keepLines/>
      <w:spacing w:before="260" w:after="260" w:line="416" w:lineRule="auto"/>
      <w:outlineLvl w:val="2"/>
    </w:pPr>
    <w:rPr>
      <w:b/>
      <w:bCs/>
      <w:sz w:val="32"/>
      <w:szCs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39"/>
    <w:pPr>
      <w:adjustRightInd w:val="0"/>
      <w:snapToGrid w:val="0"/>
    </w:pPr>
    <w:rPr>
      <w:rFonts w:ascii="Arial" w:hAnsi="Arial" w:eastAsia="微软雅黑"/>
      <w:color w:val="000000"/>
      <w:sz w:val="24"/>
    </w:rPr>
  </w:style>
  <w:style w:type="paragraph" w:styleId="6">
    <w:name w:val="footer"/>
    <w:basedOn w:val="1"/>
    <w:link w:val="26"/>
    <w:autoRedefine/>
    <w:qFormat/>
    <w:uiPriority w:val="99"/>
    <w:pPr>
      <w:tabs>
        <w:tab w:val="center" w:pos="4153"/>
        <w:tab w:val="right" w:pos="8306"/>
      </w:tabs>
      <w:snapToGrid w:val="0"/>
      <w:jc w:val="left"/>
    </w:pPr>
    <w:rPr>
      <w:sz w:val="18"/>
      <w:szCs w:val="18"/>
    </w:rPr>
  </w:style>
  <w:style w:type="paragraph" w:styleId="7">
    <w:name w:val="header"/>
    <w:basedOn w:val="1"/>
    <w:link w:val="25"/>
    <w:autoRedefine/>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9"/>
    <w:next w:val="1"/>
    <w:autoRedefine/>
    <w:qFormat/>
    <w:uiPriority w:val="39"/>
    <w:pPr>
      <w:tabs>
        <w:tab w:val="right" w:leader="dot" w:pos="10195"/>
      </w:tabs>
      <w:spacing w:before="50" w:beforeLines="50" w:after="50" w:afterLines="50"/>
    </w:pPr>
    <w:rPr>
      <w:b/>
      <w:color w:val="D70C25"/>
      <w:sz w:val="28"/>
    </w:rPr>
  </w:style>
  <w:style w:type="paragraph" w:customStyle="1" w:styleId="9">
    <w:name w:val="【正文】基础样式"/>
    <w:autoRedefine/>
    <w:qFormat/>
    <w:uiPriority w:val="11"/>
    <w:pPr>
      <w:adjustRightInd w:val="0"/>
      <w:snapToGrid w:val="0"/>
    </w:pPr>
    <w:rPr>
      <w:rFonts w:ascii="Arial" w:hAnsi="Arial" w:eastAsia="方正兰亭圆简体" w:cs="宋体"/>
      <w:kern w:val="2"/>
      <w:szCs w:val="21"/>
      <w:lang w:val="en-US" w:eastAsia="zh-CN" w:bidi="ar-SA"/>
    </w:rPr>
  </w:style>
  <w:style w:type="paragraph" w:styleId="10">
    <w:name w:val="table of figures"/>
    <w:basedOn w:val="1"/>
    <w:next w:val="1"/>
    <w:autoRedefine/>
    <w:qFormat/>
    <w:uiPriority w:val="99"/>
    <w:pPr>
      <w:adjustRightInd w:val="0"/>
      <w:snapToGrid w:val="0"/>
    </w:pPr>
    <w:rPr>
      <w:rFonts w:ascii="Arial" w:hAnsi="Arial" w:eastAsia="方正兰亭圆简体"/>
      <w:color w:val="000000"/>
      <w:sz w:val="20"/>
    </w:rPr>
  </w:style>
  <w:style w:type="paragraph" w:styleId="11">
    <w:name w:val="toc 2"/>
    <w:basedOn w:val="1"/>
    <w:next w:val="1"/>
    <w:autoRedefine/>
    <w:qFormat/>
    <w:uiPriority w:val="39"/>
    <w:pPr>
      <w:adjustRightInd w:val="0"/>
      <w:snapToGrid w:val="0"/>
    </w:pPr>
    <w:rPr>
      <w:rFonts w:ascii="Arial" w:hAnsi="Arial" w:eastAsia="方正兰亭圆简体"/>
      <w:color w:val="000000"/>
      <w:sz w:val="24"/>
    </w:rPr>
  </w:style>
  <w:style w:type="paragraph" w:styleId="12">
    <w:name w:val="Normal (Web)"/>
    <w:basedOn w:val="1"/>
    <w:autoRedefine/>
    <w:qFormat/>
    <w:uiPriority w:val="99"/>
    <w:pPr>
      <w:spacing w:beforeAutospacing="1" w:afterAutospacing="1"/>
      <w:jc w:val="left"/>
    </w:pPr>
    <w:rPr>
      <w:kern w:val="0"/>
      <w:sz w:val="24"/>
    </w:rPr>
  </w:style>
  <w:style w:type="table" w:styleId="14">
    <w:name w:val="Table Grid"/>
    <w:basedOn w:val="1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qFormat/>
    <w:uiPriority w:val="22"/>
    <w:rPr>
      <w:b/>
      <w:bCs/>
    </w:rPr>
  </w:style>
  <w:style w:type="character" w:styleId="17">
    <w:name w:val="FollowedHyperlink"/>
    <w:basedOn w:val="15"/>
    <w:autoRedefine/>
    <w:qFormat/>
    <w:uiPriority w:val="0"/>
    <w:rPr>
      <w:color w:val="1890FF"/>
      <w:u w:val="none"/>
    </w:rPr>
  </w:style>
  <w:style w:type="character" w:styleId="18">
    <w:name w:val="HTML Definition"/>
    <w:basedOn w:val="15"/>
    <w:autoRedefine/>
    <w:qFormat/>
    <w:uiPriority w:val="0"/>
  </w:style>
  <w:style w:type="character" w:styleId="19">
    <w:name w:val="HTML Variable"/>
    <w:basedOn w:val="15"/>
    <w:autoRedefine/>
    <w:qFormat/>
    <w:uiPriority w:val="0"/>
  </w:style>
  <w:style w:type="character" w:styleId="20">
    <w:name w:val="Hyperlink"/>
    <w:basedOn w:val="15"/>
    <w:autoRedefine/>
    <w:qFormat/>
    <w:uiPriority w:val="99"/>
    <w:rPr>
      <w:color w:val="0563C1"/>
      <w:u w:val="single"/>
    </w:rPr>
  </w:style>
  <w:style w:type="character" w:styleId="21">
    <w:name w:val="HTML Code"/>
    <w:basedOn w:val="15"/>
    <w:autoRedefine/>
    <w:qFormat/>
    <w:uiPriority w:val="0"/>
    <w:rPr>
      <w:rFonts w:ascii="Courier New" w:hAnsi="Courier New" w:eastAsia="Courier New" w:cs="Courier New"/>
      <w:sz w:val="21"/>
      <w:szCs w:val="21"/>
    </w:rPr>
  </w:style>
  <w:style w:type="character" w:styleId="22">
    <w:name w:val="HTML Cite"/>
    <w:basedOn w:val="15"/>
    <w:autoRedefine/>
    <w:qFormat/>
    <w:uiPriority w:val="0"/>
  </w:style>
  <w:style w:type="character" w:styleId="23">
    <w:name w:val="HTML Keyboard"/>
    <w:basedOn w:val="15"/>
    <w:autoRedefine/>
    <w:qFormat/>
    <w:uiPriority w:val="0"/>
    <w:rPr>
      <w:rFonts w:hint="default" w:ascii="Courier New" w:hAnsi="Courier New" w:eastAsia="Courier New" w:cs="Courier New"/>
      <w:sz w:val="21"/>
      <w:szCs w:val="21"/>
    </w:rPr>
  </w:style>
  <w:style w:type="character" w:styleId="24">
    <w:name w:val="HTML Sample"/>
    <w:basedOn w:val="15"/>
    <w:autoRedefine/>
    <w:qFormat/>
    <w:uiPriority w:val="0"/>
    <w:rPr>
      <w:rFonts w:hint="default" w:ascii="Courier New" w:hAnsi="Courier New" w:eastAsia="Courier New" w:cs="Courier New"/>
      <w:sz w:val="21"/>
      <w:szCs w:val="21"/>
    </w:rPr>
  </w:style>
  <w:style w:type="character" w:customStyle="1" w:styleId="25">
    <w:name w:val="页眉 字符"/>
    <w:basedOn w:val="15"/>
    <w:link w:val="7"/>
    <w:autoRedefine/>
    <w:qFormat/>
    <w:uiPriority w:val="99"/>
    <w:rPr>
      <w:sz w:val="18"/>
      <w:szCs w:val="18"/>
    </w:rPr>
  </w:style>
  <w:style w:type="character" w:customStyle="1" w:styleId="26">
    <w:name w:val="页脚 字符"/>
    <w:basedOn w:val="15"/>
    <w:link w:val="6"/>
    <w:autoRedefine/>
    <w:qFormat/>
    <w:uiPriority w:val="99"/>
    <w:rPr>
      <w:sz w:val="18"/>
      <w:szCs w:val="18"/>
    </w:rPr>
  </w:style>
  <w:style w:type="paragraph" w:customStyle="1" w:styleId="27">
    <w:name w:val="【摘要】内容样式"/>
    <w:basedOn w:val="28"/>
    <w:autoRedefine/>
    <w:qFormat/>
    <w:uiPriority w:val="1"/>
    <w:pPr>
      <w:numPr>
        <w:ilvl w:val="0"/>
        <w:numId w:val="1"/>
      </w:numPr>
      <w:spacing w:after="50" w:afterLines="50" w:line="400" w:lineRule="exact"/>
    </w:pPr>
    <w:rPr>
      <w:rFonts w:ascii="Arial" w:hAnsi="Arial" w:eastAsia="思源黑体"/>
      <w:sz w:val="18"/>
    </w:rPr>
  </w:style>
  <w:style w:type="paragraph" w:customStyle="1" w:styleId="28">
    <w:name w:val="【首页】基础样式"/>
    <w:autoRedefine/>
    <w:qFormat/>
    <w:uiPriority w:val="39"/>
    <w:pPr>
      <w:autoSpaceDE w:val="0"/>
      <w:autoSpaceDN w:val="0"/>
      <w:adjustRightInd w:val="0"/>
      <w:snapToGrid w:val="0"/>
    </w:pPr>
    <w:rPr>
      <w:rFonts w:ascii="方正兰亭圆简体" w:hAnsi="等线" w:eastAsia="方正兰亭圆简体" w:cs="宋体"/>
      <w:kern w:val="2"/>
      <w:sz w:val="21"/>
      <w:szCs w:val="21"/>
      <w:lang w:val="en-US" w:eastAsia="zh-CN" w:bidi="ar-SA"/>
    </w:rPr>
  </w:style>
  <w:style w:type="character" w:customStyle="1" w:styleId="29">
    <w:name w:val="【摘要】标题样式"/>
    <w:autoRedefine/>
    <w:qFormat/>
    <w:uiPriority w:val="0"/>
    <w:rPr>
      <w:rFonts w:ascii="Arial" w:hAnsi="Arial" w:eastAsia="方正兰亭圆简体"/>
      <w:b/>
      <w:bCs/>
      <w:color w:val="000000"/>
      <w:sz w:val="18"/>
    </w:rPr>
  </w:style>
  <w:style w:type="paragraph" w:customStyle="1" w:styleId="30">
    <w:name w:val="【分析师】标题样式"/>
    <w:basedOn w:val="28"/>
    <w:autoRedefine/>
    <w:qFormat/>
    <w:uiPriority w:val="9"/>
    <w:rPr>
      <w:b/>
      <w:color w:val="D70C25"/>
      <w:sz w:val="18"/>
    </w:rPr>
  </w:style>
  <w:style w:type="paragraph" w:customStyle="1" w:styleId="31">
    <w:name w:val="【分析师】内容样式"/>
    <w:basedOn w:val="28"/>
    <w:autoRedefine/>
    <w:qFormat/>
    <w:uiPriority w:val="10"/>
    <w:rPr>
      <w:rFonts w:ascii="Arial" w:hAnsi="Arial"/>
      <w:sz w:val="18"/>
    </w:rPr>
  </w:style>
  <w:style w:type="paragraph" w:customStyle="1" w:styleId="32">
    <w:name w:val="【正文】一级标题"/>
    <w:basedOn w:val="9"/>
    <w:next w:val="33"/>
    <w:autoRedefine/>
    <w:qFormat/>
    <w:uiPriority w:val="2"/>
    <w:pPr>
      <w:numPr>
        <w:ilvl w:val="0"/>
        <w:numId w:val="2"/>
      </w:numPr>
      <w:spacing w:before="156" w:beforeLines="50" w:after="156" w:afterLines="50"/>
      <w:outlineLvl w:val="0"/>
    </w:pPr>
    <w:rPr>
      <w:b/>
      <w:color w:val="D70C25"/>
      <w:sz w:val="36"/>
    </w:rPr>
  </w:style>
  <w:style w:type="paragraph" w:customStyle="1" w:styleId="33">
    <w:name w:val="【正文】二级标题"/>
    <w:basedOn w:val="9"/>
    <w:next w:val="34"/>
    <w:autoRedefine/>
    <w:qFormat/>
    <w:uiPriority w:val="3"/>
    <w:pPr>
      <w:numPr>
        <w:ilvl w:val="1"/>
        <w:numId w:val="2"/>
      </w:numPr>
      <w:spacing w:before="50" w:beforeLines="50" w:after="50" w:afterLines="50"/>
      <w:outlineLvl w:val="1"/>
    </w:pPr>
    <w:rPr>
      <w:b/>
      <w:color w:val="E10C25"/>
      <w:sz w:val="30"/>
    </w:rPr>
  </w:style>
  <w:style w:type="paragraph" w:customStyle="1" w:styleId="34">
    <w:name w:val="【正文】三级标题"/>
    <w:basedOn w:val="9"/>
    <w:next w:val="35"/>
    <w:autoRedefine/>
    <w:qFormat/>
    <w:uiPriority w:val="4"/>
    <w:pPr>
      <w:numPr>
        <w:ilvl w:val="2"/>
        <w:numId w:val="2"/>
      </w:numPr>
      <w:spacing w:before="50" w:beforeLines="50" w:after="50" w:afterLines="50"/>
      <w:outlineLvl w:val="2"/>
    </w:pPr>
    <w:rPr>
      <w:b/>
      <w:color w:val="E10C25"/>
      <w:sz w:val="24"/>
    </w:rPr>
  </w:style>
  <w:style w:type="paragraph" w:customStyle="1" w:styleId="35">
    <w:name w:val="【正文】内容样式"/>
    <w:basedOn w:val="9"/>
    <w:autoRedefine/>
    <w:qFormat/>
    <w:uiPriority w:val="5"/>
    <w:pPr>
      <w:spacing w:after="50" w:afterLines="50" w:line="400" w:lineRule="exact"/>
      <w:ind w:firstLine="200" w:firstLineChars="200"/>
    </w:pPr>
    <w:rPr>
      <w:rFonts w:eastAsia="思源黑体"/>
      <w:color w:val="000000"/>
    </w:rPr>
  </w:style>
  <w:style w:type="paragraph" w:customStyle="1" w:styleId="36">
    <w:name w:val="【正文】资料来源"/>
    <w:basedOn w:val="9"/>
    <w:autoRedefine/>
    <w:qFormat/>
    <w:uiPriority w:val="8"/>
    <w:pPr>
      <w:widowControl w:val="0"/>
      <w:jc w:val="both"/>
    </w:pPr>
    <w:rPr>
      <w:color w:val="E10C25"/>
      <w:sz w:val="18"/>
      <w:szCs w:val="20"/>
    </w:rPr>
  </w:style>
  <w:style w:type="paragraph" w:customStyle="1" w:styleId="37">
    <w:name w:val="【正文】图标题"/>
    <w:basedOn w:val="9"/>
    <w:autoRedefine/>
    <w:qFormat/>
    <w:uiPriority w:val="6"/>
    <w:pPr>
      <w:keepNext/>
      <w:widowControl w:val="0"/>
      <w:numPr>
        <w:ilvl w:val="0"/>
        <w:numId w:val="3"/>
      </w:numPr>
      <w:jc w:val="both"/>
    </w:pPr>
    <w:rPr>
      <w:b/>
      <w:bCs/>
      <w:color w:val="E10C25"/>
    </w:rPr>
  </w:style>
  <w:style w:type="paragraph" w:customStyle="1" w:styleId="38">
    <w:name w:val="【正文】表标题"/>
    <w:basedOn w:val="9"/>
    <w:autoRedefine/>
    <w:qFormat/>
    <w:uiPriority w:val="7"/>
    <w:pPr>
      <w:keepNext/>
      <w:widowControl w:val="0"/>
      <w:numPr>
        <w:ilvl w:val="0"/>
        <w:numId w:val="4"/>
      </w:numPr>
      <w:jc w:val="both"/>
    </w:pPr>
    <w:rPr>
      <w:b/>
      <w:color w:val="E10C25"/>
      <w:szCs w:val="20"/>
    </w:rPr>
  </w:style>
  <w:style w:type="character" w:customStyle="1" w:styleId="39">
    <w:name w:val="标题 1 字符"/>
    <w:basedOn w:val="15"/>
    <w:link w:val="2"/>
    <w:autoRedefine/>
    <w:qFormat/>
    <w:uiPriority w:val="9"/>
    <w:rPr>
      <w:b/>
      <w:bCs/>
      <w:kern w:val="44"/>
      <w:sz w:val="44"/>
      <w:szCs w:val="44"/>
    </w:rPr>
  </w:style>
  <w:style w:type="character" w:customStyle="1" w:styleId="40">
    <w:name w:val="标题 2 字符"/>
    <w:basedOn w:val="15"/>
    <w:link w:val="3"/>
    <w:autoRedefine/>
    <w:qFormat/>
    <w:uiPriority w:val="9"/>
    <w:rPr>
      <w:rFonts w:ascii="等线 Light" w:hAnsi="等线 Light" w:eastAsia="等线 Light" w:cs="宋体"/>
      <w:b/>
      <w:bCs/>
      <w:sz w:val="32"/>
      <w:szCs w:val="32"/>
    </w:rPr>
  </w:style>
  <w:style w:type="character" w:customStyle="1" w:styleId="41">
    <w:name w:val="标题 3 字符"/>
    <w:basedOn w:val="15"/>
    <w:link w:val="4"/>
    <w:autoRedefine/>
    <w:qFormat/>
    <w:uiPriority w:val="9"/>
    <w:rPr>
      <w:b/>
      <w:bCs/>
      <w:sz w:val="32"/>
      <w:szCs w:val="32"/>
    </w:rPr>
  </w:style>
  <w:style w:type="paragraph" w:customStyle="1" w:styleId="42">
    <w:name w:val="东海一级标题"/>
    <w:basedOn w:val="43"/>
    <w:autoRedefine/>
    <w:qFormat/>
    <w:uiPriority w:val="0"/>
    <w:pPr>
      <w:widowControl/>
      <w:numPr>
        <w:ilvl w:val="0"/>
        <w:numId w:val="5"/>
      </w:numPr>
      <w:spacing w:beforeLines="50" w:afterLines="50" w:line="360" w:lineRule="auto"/>
      <w:ind w:left="1300" w:leftChars="1200" w:hanging="100" w:hangingChars="100"/>
      <w:outlineLvl w:val="0"/>
    </w:pPr>
    <w:rPr>
      <w:rFonts w:ascii="Arial" w:hAnsi="Arial" w:eastAsia="楷体_GB2312" w:cs="Times New Roman"/>
      <w:b/>
      <w:sz w:val="30"/>
      <w:szCs w:val="22"/>
    </w:rPr>
  </w:style>
  <w:style w:type="paragraph" w:styleId="43">
    <w:name w:val="List Paragraph"/>
    <w:basedOn w:val="1"/>
    <w:link w:val="48"/>
    <w:autoRedefine/>
    <w:qFormat/>
    <w:uiPriority w:val="34"/>
    <w:pPr>
      <w:ind w:firstLine="420" w:firstLineChars="200"/>
    </w:pPr>
  </w:style>
  <w:style w:type="paragraph" w:customStyle="1" w:styleId="44">
    <w:name w:val="东海二级标题"/>
    <w:basedOn w:val="43"/>
    <w:autoRedefine/>
    <w:qFormat/>
    <w:uiPriority w:val="0"/>
    <w:pPr>
      <w:widowControl/>
      <w:numPr>
        <w:ilvl w:val="1"/>
        <w:numId w:val="5"/>
      </w:numPr>
      <w:spacing w:beforeLines="50" w:afterLines="50" w:line="360" w:lineRule="auto"/>
      <w:ind w:left="1380" w:leftChars="1200" w:hanging="180" w:hangingChars="180"/>
      <w:outlineLvl w:val="1"/>
    </w:pPr>
    <w:rPr>
      <w:rFonts w:ascii="Arial" w:hAnsi="Arial" w:eastAsia="楷体_GB2312" w:cs="Times New Roman"/>
      <w:b/>
      <w:sz w:val="28"/>
      <w:szCs w:val="22"/>
    </w:rPr>
  </w:style>
  <w:style w:type="paragraph" w:customStyle="1" w:styleId="45">
    <w:name w:val="东海三级标题"/>
    <w:basedOn w:val="43"/>
    <w:link w:val="46"/>
    <w:autoRedefine/>
    <w:qFormat/>
    <w:uiPriority w:val="0"/>
    <w:pPr>
      <w:widowControl/>
      <w:numPr>
        <w:ilvl w:val="2"/>
        <w:numId w:val="5"/>
      </w:numPr>
      <w:spacing w:beforeLines="50" w:afterLines="50" w:line="360" w:lineRule="auto"/>
      <w:ind w:left="1450" w:leftChars="1200" w:hanging="250" w:hangingChars="250"/>
      <w:outlineLvl w:val="2"/>
    </w:pPr>
    <w:rPr>
      <w:rFonts w:ascii="Arial" w:hAnsi="Arial" w:eastAsia="楷体_GB2312" w:cs="Times New Roman"/>
      <w:b/>
      <w:sz w:val="24"/>
      <w:szCs w:val="22"/>
    </w:rPr>
  </w:style>
  <w:style w:type="character" w:customStyle="1" w:styleId="46">
    <w:name w:val="东海三级标题 Char Char"/>
    <w:link w:val="45"/>
    <w:autoRedefine/>
    <w:qFormat/>
    <w:uiPriority w:val="0"/>
    <w:rPr>
      <w:rFonts w:ascii="Arial" w:hAnsi="Arial" w:eastAsia="楷体_GB2312" w:cs="Times New Roman"/>
      <w:b/>
      <w:sz w:val="24"/>
      <w:szCs w:val="22"/>
    </w:rPr>
  </w:style>
  <w:style w:type="paragraph" w:customStyle="1" w:styleId="47">
    <w:name w:val="东海摘要标题"/>
    <w:basedOn w:val="43"/>
    <w:autoRedefine/>
    <w:qFormat/>
    <w:uiPriority w:val="0"/>
    <w:pPr>
      <w:numPr>
        <w:ilvl w:val="0"/>
        <w:numId w:val="6"/>
      </w:numPr>
      <w:ind w:firstLine="0" w:firstLineChars="0"/>
    </w:pPr>
    <w:rPr>
      <w:rFonts w:ascii="Arial" w:hAnsi="Arial" w:eastAsia="楷体_GB2312" w:cs="Times New Roman"/>
      <w:b/>
      <w:szCs w:val="22"/>
    </w:rPr>
  </w:style>
  <w:style w:type="character" w:customStyle="1" w:styleId="48">
    <w:name w:val="列表段落 字符"/>
    <w:link w:val="43"/>
    <w:autoRedefine/>
    <w:qFormat/>
    <w:uiPriority w:val="34"/>
  </w:style>
  <w:style w:type="paragraph" w:customStyle="1" w:styleId="49">
    <w:name w:val="东海报告标题"/>
    <w:basedOn w:val="1"/>
    <w:link w:val="50"/>
    <w:autoRedefine/>
    <w:qFormat/>
    <w:uiPriority w:val="0"/>
    <w:pPr>
      <w:ind w:left="4200" w:leftChars="2000"/>
    </w:pPr>
    <w:rPr>
      <w:rFonts w:ascii="Cambria" w:hAnsi="Cambria" w:eastAsia="楷体_GB2312" w:cs="Times New Roman"/>
      <w:b/>
      <w:color w:val="292929"/>
      <w:sz w:val="48"/>
      <w:szCs w:val="48"/>
    </w:rPr>
  </w:style>
  <w:style w:type="character" w:customStyle="1" w:styleId="50">
    <w:name w:val="东海报告标题 Char Char"/>
    <w:link w:val="49"/>
    <w:autoRedefine/>
    <w:qFormat/>
    <w:uiPriority w:val="0"/>
    <w:rPr>
      <w:rFonts w:ascii="Cambria" w:hAnsi="Cambria" w:eastAsia="楷体_GB2312" w:cs="Times New Roman"/>
      <w:b/>
      <w:color w:val="292929"/>
      <w:kern w:val="2"/>
      <w:sz w:val="48"/>
      <w:szCs w:val="48"/>
    </w:rPr>
  </w:style>
  <w:style w:type="character" w:customStyle="1" w:styleId="51">
    <w:name w:val="15"/>
    <w:basedOn w:val="15"/>
    <w:autoRedefine/>
    <w:qFormat/>
    <w:uiPriority w:val="0"/>
    <w:rPr>
      <w:rFonts w:hint="default" w:ascii="Arial" w:hAnsi="Arial" w:eastAsia="方正兰亭圆简体" w:cs="Arial"/>
      <w:b/>
      <w:bCs/>
      <w:color w:val="000000"/>
      <w:sz w:val="18"/>
      <w:szCs w:val="18"/>
    </w:rPr>
  </w:style>
  <w:style w:type="character" w:customStyle="1" w:styleId="52">
    <w:name w:val="ant-select-tree-switcher"/>
    <w:basedOn w:val="15"/>
    <w:autoRedefine/>
    <w:qFormat/>
    <w:uiPriority w:val="0"/>
  </w:style>
  <w:style w:type="character" w:customStyle="1" w:styleId="53">
    <w:name w:val="ant-tree-checkbox2"/>
    <w:basedOn w:val="15"/>
    <w:autoRedefine/>
    <w:qFormat/>
    <w:uiPriority w:val="0"/>
  </w:style>
  <w:style w:type="character" w:customStyle="1" w:styleId="54">
    <w:name w:val="ant-tree-iconele2"/>
    <w:basedOn w:val="15"/>
    <w:autoRedefine/>
    <w:qFormat/>
    <w:uiPriority w:val="0"/>
  </w:style>
  <w:style w:type="character" w:customStyle="1" w:styleId="55">
    <w:name w:val="ant-typography-ellipsis"/>
    <w:basedOn w:val="15"/>
    <w:autoRedefine/>
    <w:qFormat/>
    <w:uiPriority w:val="0"/>
  </w:style>
  <w:style w:type="character" w:customStyle="1" w:styleId="56">
    <w:name w:val="ant-transfer-list-search-action"/>
    <w:basedOn w:val="15"/>
    <w:autoRedefine/>
    <w:qFormat/>
    <w:uiPriority w:val="0"/>
  </w:style>
  <w:style w:type="character" w:customStyle="1" w:styleId="57">
    <w:name w:val="ant-select-tree-checkbox2"/>
    <w:basedOn w:val="15"/>
    <w:autoRedefine/>
    <w:qFormat/>
    <w:uiPriority w:val="0"/>
  </w:style>
  <w:style w:type="character" w:customStyle="1" w:styleId="58">
    <w:name w:val="ant-radio+*"/>
    <w:basedOn w:val="15"/>
    <w:autoRedefine/>
    <w:qFormat/>
    <w:uiPriority w:val="0"/>
  </w:style>
  <w:style w:type="character" w:customStyle="1" w:styleId="59">
    <w:name w:val="ant-select-tree-iconele4"/>
    <w:basedOn w:val="15"/>
    <w:autoRedefine/>
    <w:qFormat/>
    <w:uiPriority w:val="0"/>
  </w:style>
  <w:style w:type="character" w:customStyle="1" w:styleId="60">
    <w:name w:val="ant-tree-switcher"/>
    <w:basedOn w:val="15"/>
    <w:autoRedefine/>
    <w:qFormat/>
    <w:uiPriority w:val="0"/>
  </w:style>
  <w:style w:type="character" w:customStyle="1" w:styleId="61">
    <w:name w:val="ant-typography-ellipsis-single-line3"/>
    <w:basedOn w:val="15"/>
    <w:autoRedefine/>
    <w:qFormat/>
    <w:uiPriority w:val="0"/>
  </w:style>
  <w:style w:type="character" w:customStyle="1" w:styleId="62">
    <w:name w:val="after"/>
    <w:basedOn w:val="15"/>
    <w:autoRedefine/>
    <w:qFormat/>
    <w:uiPriority w:val="0"/>
  </w:style>
  <w:style w:type="character" w:customStyle="1" w:styleId="63">
    <w:name w:val="ant-tree-checkbox"/>
    <w:basedOn w:val="15"/>
    <w:autoRedefine/>
    <w:qFormat/>
    <w:uiPriority w:val="0"/>
  </w:style>
  <w:style w:type="character" w:customStyle="1" w:styleId="64">
    <w:name w:val="ant-typography-ellipsis1"/>
    <w:basedOn w:val="15"/>
    <w:autoRedefine/>
    <w:qFormat/>
    <w:uiPriority w:val="0"/>
  </w:style>
  <w:style w:type="character" w:customStyle="1" w:styleId="65">
    <w:name w:val="ant-typography-ellipsis-single-line2"/>
    <w:basedOn w:val="15"/>
    <w:autoRedefine/>
    <w:qFormat/>
    <w:uiPriority w:val="0"/>
  </w:style>
  <w:style w:type="character" w:customStyle="1" w:styleId="66">
    <w:name w:val="ant-select-tree-iconele"/>
    <w:basedOn w:val="15"/>
    <w:autoRedefine/>
    <w:qFormat/>
    <w:uiPriority w:val="0"/>
  </w:style>
  <w:style w:type="character" w:customStyle="1" w:styleId="67">
    <w:name w:val="ant-select-tree-switcher2"/>
    <w:basedOn w:val="15"/>
    <w:autoRedefine/>
    <w:qFormat/>
    <w:uiPriority w:val="0"/>
  </w:style>
  <w:style w:type="character" w:customStyle="1" w:styleId="68">
    <w:name w:val="ant-transfer-list-search-action2"/>
    <w:basedOn w:val="15"/>
    <w:autoRedefine/>
    <w:qFormat/>
    <w:uiPriority w:val="0"/>
  </w:style>
  <w:style w:type="character" w:customStyle="1" w:styleId="69">
    <w:name w:val="ant-tree-switcher2"/>
    <w:basedOn w:val="15"/>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9A0360-A6FC-45CA-B744-C8836EBCC94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3777</Words>
  <Characters>4135</Characters>
  <Lines>40</Lines>
  <Paragraphs>11</Paragraphs>
  <TotalTime>0</TotalTime>
  <ScaleCrop>false</ScaleCrop>
  <LinksUpToDate>false</LinksUpToDate>
  <CharactersWithSpaces>4138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2022-08-05T07:12:00Z</dcterms:created>
  <dc:creator>919063741@qq.com</dc:creator>
  <cp:lastModifiedBy>guzhaoxiang</cp:lastModifiedBy>
  <cp:lastPrinted>2022-11-15T08:34:00Z</cp:lastPrinted>
  <dcterms:modified xsi:type="dcterms:W3CDTF">2024-04-23T00:38:01Z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dustryname">
    <vt:lpwstr>石油石化</vt:lpwstr>
  </property>
  <property fmtid="{D5CDD505-2E9C-101B-9397-08002B2CF9AE}" pid="3" name="columnname">
    <vt:lpwstr>行业研究</vt:lpwstr>
  </property>
  <property fmtid="{D5CDD505-2E9C-101B-9397-08002B2CF9AE}" pid="4" name="typename">
    <vt:lpwstr>行业周报</vt:lpwstr>
  </property>
  <property fmtid="{D5CDD505-2E9C-101B-9397-08002B2CF9AE}" pid="5" name="username">
    <vt:lpwstr>admin</vt:lpwstr>
  </property>
  <property fmtid="{D5CDD505-2E9C-101B-9397-08002B2CF9AE}" pid="6" name="scode">
    <vt:lpwstr>股票代码</vt:lpwstr>
  </property>
  <property fmtid="{D5CDD505-2E9C-101B-9397-08002B2CF9AE}" pid="7" name="sname">
    <vt:lpwstr>股票名称</vt:lpwstr>
  </property>
  <property fmtid="{D5CDD505-2E9C-101B-9397-08002B2CF9AE}" pid="8" name="finPrice">
    <vt:lpwstr>XX.XX</vt:lpwstr>
  </property>
  <property fmtid="{D5CDD505-2E9C-101B-9397-08002B2CF9AE}" pid="9" name="KSOProductBuildVer">
    <vt:lpwstr>2052-12.1.0.16729</vt:lpwstr>
  </property>
  <property fmtid="{D5CDD505-2E9C-101B-9397-08002B2CF9AE}" pid="10" name="ICV">
    <vt:lpwstr>6DE5A58304B248908827381CEF866723_13</vt:lpwstr>
  </property>
</Properties>
</file>