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ink/ink2.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text" w:horzAnchor="page" w:tblpX="1099" w:tblpY="-827"/>
        <w:tblOverlap w:val="never"/>
        <w:tblW w:w="103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77"/>
        <w:gridCol w:w="7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14" w:hRule="atLeast"/>
        </w:trPr>
        <w:tc>
          <w:tcPr>
            <w:tcW w:w="2977" w:type="dxa"/>
            <w:vAlign w:val="center"/>
          </w:tcPr>
          <w:p>
            <w:pPr>
              <w:pStyle w:val="28"/>
              <w:ind w:left="141" w:leftChars="67"/>
              <w:rPr>
                <w:rFonts w:ascii="思源黑体" w:hAnsi="思源黑体" w:eastAsia="思源黑体"/>
                <w:b/>
                <w:color w:val="D70C25"/>
                <w:sz w:val="18"/>
                <w:szCs w:val="18"/>
              </w:rPr>
            </w:pPr>
            <w:r>
              <w:rPr>
                <w:rFonts w:hint="eastAsia" w:ascii="思源黑体" w:hAnsi="思源黑体" w:eastAsia="思源黑体"/>
                <w:b/>
                <w:color w:val="D70C25"/>
                <w:sz w:val="18"/>
                <w:szCs w:val="18"/>
              </w:rPr>
              <w:t>投资咨询业务资格：</w:t>
            </w:r>
          </w:p>
          <w:p>
            <w:pPr>
              <w:pStyle w:val="28"/>
              <w:ind w:left="141" w:leftChars="67"/>
              <w:rPr>
                <w:rFonts w:ascii="思源黑体" w:hAnsi="思源黑体" w:eastAsia="思源黑体"/>
                <w:b/>
                <w:color w:val="D70C25"/>
                <w:sz w:val="13"/>
                <w:szCs w:val="13"/>
              </w:rPr>
            </w:pPr>
            <w:r>
              <w:rPr>
                <w:rFonts w:ascii="思源黑体" w:hAnsi="思源黑体" w:eastAsia="思源黑体"/>
                <w:b/>
                <w:color w:val="D70C25"/>
                <w:sz w:val="18"/>
                <w:szCs w:val="18"/>
              </w:rPr>
              <w:t>证监许可[2011]1771号</w:t>
            </w:r>
          </w:p>
        </w:tc>
        <w:tc>
          <w:tcPr>
            <w:tcW w:w="7371" w:type="dxa"/>
            <w:vAlign w:val="center"/>
          </w:tcPr>
          <w:p>
            <w:pPr>
              <w:pStyle w:val="28"/>
              <w:ind w:left="141" w:leftChars="67"/>
              <w:jc w:val="right"/>
              <w:rPr>
                <w:rFonts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977" w:type="dxa"/>
          </w:tcPr>
          <w:p>
            <w:pPr>
              <w:pStyle w:val="28"/>
              <w:rPr>
                <w:rFonts w:ascii="思源黑体" w:hAnsi="思源黑体" w:eastAsia="思源黑体"/>
                <w:b/>
                <w:color w:val="D70C25"/>
                <w:sz w:val="28"/>
              </w:rPr>
            </w:pPr>
          </w:p>
        </w:tc>
        <w:tc>
          <w:tcPr>
            <w:tcW w:w="7371" w:type="dxa"/>
            <w:tcMar>
              <w:top w:w="227" w:type="dxa"/>
            </w:tcMar>
            <w:vAlign w:val="center"/>
          </w:tcPr>
          <w:p>
            <w:pPr>
              <w:pStyle w:val="28"/>
              <w:ind w:left="141" w:leftChars="67"/>
              <w:rPr>
                <w:rFonts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2977" w:type="dxa"/>
          </w:tcPr>
          <w:p>
            <w:pPr>
              <w:pStyle w:val="28"/>
              <w:rPr>
                <w:rFonts w:ascii="思源黑体" w:hAnsi="思源黑体" w:eastAsia="思源黑体"/>
                <w:b/>
                <w:color w:val="D70C25"/>
                <w:sz w:val="28"/>
              </w:rPr>
            </w:pPr>
            <w:r>
              <w:rPr>
                <w:rFonts w:hint="eastAsia" w:ascii="思源黑体" w:hAnsi="思源黑体" w:eastAsia="思源黑体"/>
                <w:b/>
                <w:color w:val="D70C25"/>
                <w:sz w:val="28"/>
              </w:rPr>
              <w:t>20</w:t>
            </w:r>
            <w:r>
              <w:rPr>
                <w:rFonts w:ascii="思源黑体" w:hAnsi="思源黑体" w:eastAsia="思源黑体"/>
                <w:b/>
                <w:color w:val="D70C25"/>
                <w:sz w:val="28"/>
              </w:rPr>
              <w:t>2</w:t>
            </w:r>
            <w:r>
              <w:rPr>
                <w:rFonts w:hint="eastAsia" w:ascii="思源黑体" w:hAnsi="思源黑体" w:eastAsia="思源黑体"/>
                <w:b/>
                <w:color w:val="D70C25"/>
                <w:sz w:val="28"/>
              </w:rPr>
              <w:t>4年</w:t>
            </w:r>
            <w:r>
              <w:rPr>
                <w:rFonts w:hint="eastAsia" w:ascii="思源黑体" w:hAnsi="思源黑体" w:eastAsia="思源黑体"/>
                <w:b/>
                <w:color w:val="D70C25"/>
                <w:sz w:val="28"/>
                <w:lang w:val="en-US" w:eastAsia="zh-CN"/>
              </w:rPr>
              <w:t>8</w:t>
            </w:r>
            <w:r>
              <w:rPr>
                <w:rFonts w:hint="eastAsia" w:ascii="思源黑体" w:hAnsi="思源黑体" w:eastAsia="思源黑体"/>
                <w:b/>
                <w:color w:val="D70C25"/>
                <w:sz w:val="28"/>
              </w:rPr>
              <w:t>月</w:t>
            </w:r>
            <w:r>
              <w:rPr>
                <w:rFonts w:hint="eastAsia" w:ascii="思源黑体" w:hAnsi="思源黑体" w:eastAsia="思源黑体"/>
                <w:b/>
                <w:color w:val="D70C25"/>
                <w:sz w:val="28"/>
                <w:lang w:val="en-US" w:eastAsia="zh-CN"/>
              </w:rPr>
              <w:t>9</w:t>
            </w:r>
            <w:r>
              <w:rPr>
                <w:rFonts w:hint="eastAsia" w:ascii="思源黑体" w:hAnsi="思源黑体" w:eastAsia="思源黑体"/>
                <w:b/>
                <w:color w:val="D70C25"/>
                <w:sz w:val="28"/>
              </w:rPr>
              <w:t>日</w:t>
            </w:r>
          </w:p>
        </w:tc>
        <w:tc>
          <w:tcPr>
            <w:tcW w:w="7371" w:type="dxa"/>
            <w:tcMar>
              <w:top w:w="227" w:type="dxa"/>
            </w:tcMar>
            <w:vAlign w:val="center"/>
          </w:tcPr>
          <w:p>
            <w:pPr>
              <w:pStyle w:val="28"/>
              <w:jc w:val="center"/>
              <w:rPr>
                <w:rFonts w:ascii="思源黑体" w:hAnsi="思源黑体" w:eastAsia="思源黑体"/>
              </w:rPr>
            </w:pPr>
            <w:r>
              <w:rPr>
                <w:rFonts w:hint="eastAsia" w:ascii="思源黑体" w:hAnsi="思源黑体" w:eastAsia="思源黑体"/>
                <w:b/>
                <w:color w:val="D70C25"/>
                <w:sz w:val="32"/>
                <w:szCs w:val="32"/>
              </w:rPr>
              <w:t>研究所晨会观点精萃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24" w:hRule="atLeast"/>
        </w:trPr>
        <w:tc>
          <w:tcPr>
            <w:tcW w:w="2977" w:type="dxa"/>
          </w:tcPr>
          <w:tbl>
            <w:tblPr>
              <w:tblStyle w:val="13"/>
              <w:tblW w:w="2835" w:type="dxa"/>
              <w:tblInd w:w="0" w:type="dxa"/>
              <w:tblLayout w:type="fixed"/>
              <w:tblCellMar>
                <w:top w:w="0" w:type="dxa"/>
                <w:left w:w="108" w:type="dxa"/>
                <w:bottom w:w="0" w:type="dxa"/>
                <w:right w:w="108" w:type="dxa"/>
              </w:tblCellMar>
            </w:tblPr>
            <w:tblGrid>
              <w:gridCol w:w="2835"/>
            </w:tblGrid>
            <w:tr>
              <w:tblPrEx>
                <w:tblCellMar>
                  <w:top w:w="0" w:type="dxa"/>
                  <w:left w:w="108" w:type="dxa"/>
                  <w:bottom w:w="0" w:type="dxa"/>
                  <w:right w:w="108" w:type="dxa"/>
                </w:tblCellMar>
              </w:tblPrEx>
              <w:tc>
                <w:tcPr>
                  <w:tcW w:w="2835" w:type="dxa"/>
                </w:tcPr>
                <w:tbl>
                  <w:tblPr>
                    <w:tblStyle w:val="14"/>
                    <w:tblW w:w="28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exact"/>
                    </w:trPr>
                    <w:tc>
                      <w:tcPr>
                        <w:tcW w:w="2835" w:type="dxa"/>
                        <w:vAlign w:val="center"/>
                      </w:tcPr>
                      <w:p>
                        <w:pPr>
                          <w:pStyle w:val="28"/>
                          <w:spacing w:line="240" w:lineRule="auto"/>
                          <w:ind w:left="141" w:leftChars="67"/>
                          <w:rPr>
                            <w:rFonts w:ascii="思源黑体" w:hAnsi="思源黑体" w:eastAsia="思源黑体"/>
                          </w:rPr>
                        </w:pPr>
                        <w:r>
                          <w:rPr>
                            <w:rFonts w:hint="eastAsia" w:ascii="思源黑体" w:hAnsi="思源黑体" w:eastAsia="思源黑体"/>
                          </w:rPr>
                          <w:t>[Table_Report]</w:t>
                        </w:r>
                      </w:p>
                    </w:tc>
                  </w:tr>
                </w:tbl>
                <w:p>
                  <w:pPr>
                    <w:pStyle w:val="28"/>
                    <w:spacing w:line="240" w:lineRule="auto"/>
                    <w:ind w:left="141" w:leftChars="67"/>
                    <w:rPr>
                      <w:rFonts w:ascii="思源黑体" w:hAnsi="思源黑体" w:eastAsia="思源黑体"/>
                    </w:rPr>
                  </w:pPr>
                </w:p>
              </w:tc>
            </w:tr>
          </w:tbl>
          <w:p>
            <w:pPr>
              <w:snapToGrid w:val="0"/>
              <w:spacing w:line="240" w:lineRule="auto"/>
              <w:ind w:left="141" w:hanging="141" w:hangingChars="67"/>
              <w:jc w:val="left"/>
              <w:rPr>
                <w:rFonts w:ascii="思源黑体" w:hAnsi="思源黑体" w:eastAsia="思源黑体"/>
                <w:b/>
                <w:color w:val="D70C25"/>
              </w:rPr>
            </w:pPr>
            <w:r>
              <w:rPr>
                <w:rFonts w:hint="eastAsia" w:ascii="思源黑体" w:hAnsi="思源黑体" w:eastAsia="思源黑体"/>
                <w:b/>
                <w:color w:val="D70C25"/>
              </w:rPr>
              <w:t>分析师</w:t>
            </w:r>
          </w:p>
          <w:p>
            <w:pPr>
              <w:snapToGrid w:val="0"/>
              <w:spacing w:line="240" w:lineRule="auto"/>
              <w:ind w:left="141" w:hanging="141" w:hangingChars="67"/>
              <w:jc w:val="left"/>
              <w:rPr>
                <w:rFonts w:ascii="思源黑体" w:hAnsi="思源黑体" w:eastAsia="思源黑体" w:cs="Arial"/>
                <w:b/>
                <w:bCs/>
                <w:color w:val="000000"/>
              </w:rPr>
            </w:pPr>
            <w:r>
              <w:rPr>
                <w:rFonts w:hint="eastAsia" w:ascii="思源黑体" w:hAnsi="思源黑体" w:eastAsia="思源黑体" w:cs="Arial"/>
                <w:b/>
                <w:bCs/>
                <w:color w:val="000000"/>
              </w:rPr>
              <w:t>贾利军</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从业资格证号：F0256916</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投资咨询证号：Z0000671</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电话</w:t>
            </w:r>
            <w:r>
              <w:rPr>
                <w:rFonts w:ascii="思源黑体" w:hAnsi="思源黑体" w:eastAsia="思源黑体" w:cs="Arial"/>
                <w:color w:val="000000"/>
              </w:rPr>
              <w:t>：</w:t>
            </w:r>
            <w:r>
              <w:rPr>
                <w:rFonts w:hint="eastAsia" w:ascii="思源黑体" w:hAnsi="思源黑体" w:eastAsia="思源黑体" w:cs="Arial"/>
                <w:color w:val="000000"/>
              </w:rPr>
              <w:t>021-68757181</w:t>
            </w:r>
          </w:p>
          <w:p>
            <w:pPr>
              <w:snapToGrid w:val="0"/>
              <w:spacing w:line="240" w:lineRule="auto"/>
              <w:ind w:left="141" w:hanging="140" w:hangingChars="67"/>
              <w:jc w:val="left"/>
              <w:rPr>
                <w:rFonts w:ascii="思源黑体" w:hAnsi="思源黑体" w:eastAsia="思源黑体"/>
                <w:b/>
                <w:color w:val="D70C25"/>
              </w:rPr>
            </w:pPr>
            <w:r>
              <w:rPr>
                <w:rFonts w:hint="eastAsia" w:ascii="思源黑体" w:hAnsi="思源黑体" w:eastAsia="思源黑体" w:cs="Arial"/>
                <w:color w:val="000000"/>
              </w:rPr>
              <w:t>邮箱：jialj@qh168.com.cn</w:t>
            </w:r>
          </w:p>
          <w:p>
            <w:pPr>
              <w:snapToGrid w:val="0"/>
              <w:spacing w:line="240" w:lineRule="auto"/>
              <w:ind w:left="141" w:hanging="141" w:hangingChars="67"/>
              <w:jc w:val="left"/>
              <w:rPr>
                <w:rFonts w:ascii="思源黑体" w:hAnsi="思源黑体" w:eastAsia="思源黑体" w:cs="Arial"/>
                <w:b/>
                <w:color w:val="000000"/>
              </w:rPr>
            </w:pPr>
            <w:r>
              <w:rPr>
                <w:rFonts w:hint="eastAsia" w:ascii="思源黑体" w:hAnsi="思源黑体" w:eastAsia="思源黑体" w:cs="Arial"/>
                <w:b/>
                <w:color w:val="000000"/>
              </w:rPr>
              <w:t>明道雨</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从业资格证号：</w:t>
            </w:r>
            <w:r>
              <w:rPr>
                <w:rFonts w:hint="eastAsia" w:ascii="思源黑体" w:hAnsi="思源黑体" w:eastAsia="思源黑体" w:cs="Arial"/>
                <w:bCs/>
                <w:color w:val="000000"/>
              </w:rPr>
              <w:t>F03092124</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投资咨询证号：Z0018827</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color w:val="000000"/>
              </w:rPr>
              <w:t>电话</w:t>
            </w:r>
            <w:r>
              <w:rPr>
                <w:rFonts w:ascii="思源黑体" w:hAnsi="思源黑体" w:eastAsia="思源黑体" w:cs="Arial"/>
                <w:color w:val="000000"/>
              </w:rPr>
              <w:t>：</w:t>
            </w:r>
            <w:r>
              <w:rPr>
                <w:rFonts w:hint="eastAsia" w:ascii="思源黑体" w:hAnsi="思源黑体" w:eastAsia="思源黑体" w:cs="Arial"/>
                <w:bCs/>
                <w:color w:val="000000"/>
              </w:rPr>
              <w:t>021-68758120</w:t>
            </w:r>
          </w:p>
          <w:p>
            <w:pPr>
              <w:tabs>
                <w:tab w:val="left" w:pos="2914"/>
              </w:tabs>
              <w:snapToGrid w:val="0"/>
              <w:spacing w:line="240" w:lineRule="auto"/>
              <w:ind w:left="141" w:right="-703" w:rightChars="-335" w:hanging="140" w:hangingChars="67"/>
              <w:jc w:val="left"/>
              <w:rPr>
                <w:rFonts w:ascii="思源黑体" w:hAnsi="思源黑体" w:eastAsia="思源黑体" w:cs="Arial"/>
                <w:b/>
                <w:bCs/>
                <w:color w:val="C00000"/>
              </w:rPr>
            </w:pPr>
            <w:r>
              <w:rPr>
                <w:rFonts w:hint="eastAsia" w:ascii="思源黑体" w:hAnsi="思源黑体" w:eastAsia="思源黑体" w:cs="Arial"/>
                <w:color w:val="000000"/>
              </w:rPr>
              <w:t>邮箱：</w:t>
            </w:r>
            <w:r>
              <w:rPr>
                <w:rFonts w:hint="eastAsia" w:ascii="思源黑体" w:hAnsi="思源黑体" w:eastAsia="思源黑体" w:cs="Arial"/>
                <w:bCs/>
                <w:color w:val="000000"/>
              </w:rPr>
              <w:t>mingdy@qh168.com.cn</w:t>
            </w:r>
          </w:p>
          <w:p>
            <w:pPr>
              <w:snapToGrid w:val="0"/>
              <w:spacing w:line="240" w:lineRule="auto"/>
              <w:ind w:left="141" w:hanging="141" w:hangingChars="67"/>
              <w:jc w:val="left"/>
              <w:rPr>
                <w:rFonts w:ascii="思源黑体" w:hAnsi="思源黑体" w:eastAsia="思源黑体" w:cs="Arial"/>
                <w:b/>
                <w:bCs/>
                <w:color w:val="000000"/>
              </w:rPr>
            </w:pPr>
            <w:r>
              <w:rPr>
                <w:rFonts w:hint="eastAsia" w:ascii="思源黑体" w:hAnsi="思源黑体" w:eastAsia="思源黑体" w:cs="Arial"/>
                <w:b/>
                <w:bCs/>
                <w:color w:val="000000"/>
              </w:rPr>
              <w:t>刘慧峰</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从业资格证号：F3033924</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投资咨询证号：Z0013026</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电话</w:t>
            </w:r>
            <w:r>
              <w:rPr>
                <w:rFonts w:ascii="思源黑体" w:hAnsi="思源黑体" w:eastAsia="思源黑体" w:cs="Arial"/>
                <w:color w:val="000000"/>
              </w:rPr>
              <w:t>：</w:t>
            </w:r>
            <w:r>
              <w:rPr>
                <w:rFonts w:hint="eastAsia" w:ascii="思源黑体" w:hAnsi="思源黑体" w:eastAsia="思源黑体" w:cs="Arial"/>
                <w:color w:val="000000"/>
              </w:rPr>
              <w:t>021-68757</w:t>
            </w:r>
            <w:r>
              <w:rPr>
                <w:rFonts w:ascii="思源黑体" w:hAnsi="思源黑体" w:eastAsia="思源黑体" w:cs="Arial"/>
                <w:color w:val="000000"/>
              </w:rPr>
              <w:t>089</w:t>
            </w:r>
          </w:p>
          <w:p>
            <w:pPr>
              <w:tabs>
                <w:tab w:val="left" w:pos="2914"/>
              </w:tabs>
              <w:snapToGrid w:val="0"/>
              <w:spacing w:line="240" w:lineRule="auto"/>
              <w:ind w:left="141" w:right="-703" w:rightChars="-335" w:hanging="140" w:hangingChars="67"/>
              <w:jc w:val="left"/>
              <w:rPr>
                <w:rFonts w:ascii="思源黑体" w:hAnsi="思源黑体" w:eastAsia="思源黑体" w:cs="Arial"/>
                <w:b/>
                <w:color w:val="000000"/>
              </w:rPr>
            </w:pPr>
            <w:r>
              <w:rPr>
                <w:rFonts w:hint="eastAsia" w:ascii="思源黑体" w:hAnsi="思源黑体" w:eastAsia="思源黑体" w:cs="Arial"/>
                <w:color w:val="000000"/>
              </w:rPr>
              <w:t>邮箱：Liuhf@qh168.com.cn</w:t>
            </w:r>
          </w:p>
          <w:p>
            <w:pPr>
              <w:snapToGrid w:val="0"/>
              <w:spacing w:line="240" w:lineRule="auto"/>
              <w:jc w:val="left"/>
              <w:rPr>
                <w:rFonts w:ascii="思源黑体" w:hAnsi="思源黑体" w:eastAsia="思源黑体" w:cs="Arial"/>
                <w:b/>
                <w:color w:val="000000"/>
              </w:rPr>
            </w:pPr>
            <w:r>
              <w:rPr>
                <w:rFonts w:hint="eastAsia" w:ascii="思源黑体" w:hAnsi="思源黑体" w:eastAsia="思源黑体" w:cs="Arial"/>
                <w:b/>
                <w:color w:val="000000"/>
              </w:rPr>
              <w:t>刘兵</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从业资格证号：F03091165</w:t>
            </w:r>
          </w:p>
          <w:p>
            <w:pPr>
              <w:snapToGrid w:val="0"/>
              <w:spacing w:line="240" w:lineRule="auto"/>
              <w:jc w:val="left"/>
              <w:rPr>
                <w:rFonts w:ascii="思源黑体" w:hAnsi="思源黑体" w:eastAsia="思源黑体" w:cs="Arial"/>
                <w:bCs/>
                <w:color w:val="000000"/>
              </w:rPr>
            </w:pPr>
            <w:r>
              <w:rPr>
                <w:rFonts w:hint="eastAsia" w:ascii="思源黑体" w:hAnsi="思源黑体" w:eastAsia="思源黑体" w:cs="Arial"/>
                <w:bCs/>
                <w:color w:val="000000"/>
              </w:rPr>
              <w:t>投资咨询证号：Z0019876</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联系电话：021-68757827</w:t>
            </w:r>
          </w:p>
          <w:p>
            <w:pPr>
              <w:snapToGrid w:val="0"/>
              <w:spacing w:line="240" w:lineRule="auto"/>
              <w:ind w:left="141" w:hanging="140" w:hangingChars="67"/>
              <w:jc w:val="left"/>
              <w:rPr>
                <w:rFonts w:ascii="思源黑体" w:hAnsi="思源黑体" w:eastAsia="思源黑体" w:cs="Arial"/>
                <w:b/>
                <w:bCs/>
                <w:color w:val="C00000"/>
              </w:rPr>
            </w:pPr>
            <w:r>
              <w:rPr>
                <w:rFonts w:hint="eastAsia" w:ascii="思源黑体" w:hAnsi="思源黑体" w:eastAsia="思源黑体" w:cs="Arial"/>
                <w:bCs/>
                <w:color w:val="000000"/>
              </w:rPr>
              <w:t>邮箱：</w:t>
            </w:r>
            <w:r>
              <w:fldChar w:fldCharType="begin"/>
            </w:r>
            <w:r>
              <w:instrText xml:space="preserve"> HYPERLINK "mailto:liub@qh168.com.cn" </w:instrText>
            </w:r>
            <w:r>
              <w:fldChar w:fldCharType="separate"/>
            </w:r>
            <w:r>
              <w:rPr>
                <w:rFonts w:hint="eastAsia" w:ascii="思源黑体" w:hAnsi="思源黑体" w:eastAsia="思源黑体" w:cs="Arial"/>
                <w:bCs/>
                <w:color w:val="000000"/>
              </w:rPr>
              <w:t>liub@qh168.com.cn</w:t>
            </w:r>
            <w:r>
              <w:rPr>
                <w:rFonts w:hint="eastAsia" w:ascii="思源黑体" w:hAnsi="思源黑体" w:eastAsia="思源黑体" w:cs="Arial"/>
                <w:bCs/>
                <w:color w:val="000000"/>
              </w:rPr>
              <w:fldChar w:fldCharType="end"/>
            </w:r>
          </w:p>
          <w:p>
            <w:pPr>
              <w:snapToGrid w:val="0"/>
              <w:spacing w:line="240" w:lineRule="auto"/>
              <w:ind w:left="141" w:hanging="141" w:hangingChars="67"/>
              <w:jc w:val="left"/>
              <w:rPr>
                <w:rFonts w:ascii="思源黑体" w:hAnsi="思源黑体" w:eastAsia="思源黑体" w:cs="Arial"/>
                <w:b/>
                <w:color w:val="000000"/>
              </w:rPr>
            </w:pPr>
            <w:r>
              <w:rPr>
                <w:rFonts w:hint="eastAsia" w:ascii="思源黑体" w:hAnsi="思源黑体" w:eastAsia="思源黑体" w:cs="Arial"/>
                <w:b/>
                <w:color w:val="000000"/>
              </w:rPr>
              <w:t>王亦路</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从业资格证号：F03089928</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color w:val="000000"/>
              </w:rPr>
              <w:t>投资咨询证号：Z0019740</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电话：021-68757827</w:t>
            </w:r>
          </w:p>
          <w:p>
            <w:pPr>
              <w:pStyle w:val="28"/>
              <w:spacing w:line="240" w:lineRule="auto"/>
              <w:rPr>
                <w:rFonts w:ascii="思源黑体" w:hAnsi="思源黑体" w:eastAsia="思源黑体"/>
              </w:rPr>
            </w:pPr>
            <w:r>
              <w:rPr>
                <w:rFonts w:hint="eastAsia" w:ascii="思源黑体" w:hAnsi="思源黑体" w:eastAsia="思源黑体" w:cs="Arial"/>
                <w:bCs/>
                <w:color w:val="000000"/>
              </w:rPr>
              <w:t>邮箱：wangyil@qh168.com.cn</w:t>
            </w:r>
          </w:p>
        </w:tc>
        <w:tc>
          <w:tcPr>
            <w:tcW w:w="7371" w:type="dxa"/>
          </w:tcPr>
          <w:p>
            <w:pPr>
              <w:snapToGrid w:val="0"/>
              <w:spacing w:line="300" w:lineRule="auto"/>
              <w:jc w:val="left"/>
              <w:rPr>
                <w:rFonts w:hint="default" w:ascii="思源黑体" w:hAnsi="思源黑体" w:eastAsia="思源黑体" w:cs="Arial"/>
                <w:b/>
                <w:bCs w:val="0"/>
                <w:color w:val="000000"/>
                <w:sz w:val="24"/>
                <w:szCs w:val="24"/>
                <w:lang w:val="en-US" w:eastAsia="zh-CN"/>
              </w:rPr>
            </w:pPr>
            <w:r>
              <w:rPr>
                <w:rFonts w:hint="eastAsia" w:ascii="思源黑体" w:hAnsi="思源黑体" w:eastAsia="思源黑体" w:cs="Arial"/>
                <w:b/>
                <w:bCs w:val="0"/>
                <w:color w:val="000000"/>
                <w:sz w:val="24"/>
                <w:szCs w:val="24"/>
                <w:lang w:val="en-US" w:eastAsia="zh-CN"/>
              </w:rPr>
              <w:t>宏观金融：美国就业数据好于预期缓解衰退担忧，全球风险偏好大幅升温</w:t>
            </w:r>
          </w:p>
          <w:p/>
          <w:p>
            <w:pPr>
              <w:snapToGrid w:val="0"/>
              <w:spacing w:line="300" w:lineRule="auto"/>
              <w:ind w:left="141" w:hanging="140" w:hangingChars="67"/>
              <w:jc w:val="left"/>
              <w:rPr>
                <w:rFonts w:hint="eastAsia" w:ascii="思源黑体" w:hAnsi="思源黑体" w:eastAsia="思源黑体" w:cs="Arial"/>
                <w:b w:val="0"/>
                <w:bCs/>
                <w:color w:val="000000"/>
                <w:sz w:val="21"/>
                <w:szCs w:val="21"/>
                <w:lang w:val="en-US" w:eastAsia="zh-CN"/>
              </w:rPr>
            </w:pPr>
            <w:r>
              <w:rPr>
                <w:rFonts w:hint="eastAsia" w:ascii="思源黑体" w:hAnsi="思源黑体" w:eastAsia="思源黑体" w:cs="Arial"/>
                <w:b w:val="0"/>
                <w:bCs/>
                <w:color w:val="000000"/>
                <w:sz w:val="21"/>
                <w:szCs w:val="21"/>
                <w:lang w:val="en-US" w:eastAsia="zh-CN"/>
              </w:rPr>
              <w:t>【宏观】 海外方面，美国当周初请失业金人数为23.3万人，较前一周减少1.7万人，降幅超预期，缓解了人们对美国经济即将陷入衰退的担忧；美元指数反弹，全球风险偏好大幅升温。国内方面，中国7月出口增速有所放缓，但外贸整体回升，净出口对经济的拉动有所减弱；但是，海外市场情绪回暖，或带动国内内风险偏好升温。资产上：股指短期震荡，维持为短期谨慎观望。国债高位偏强震荡，谨慎做多。商品板块来看，黑色短期偏弱震荡，短期谨慎观望；有色短期震荡，短期谨慎观望；能化短期震荡反弹，谨慎观望；贵金属短期震荡偏强，谨慎做多。</w:t>
            </w:r>
          </w:p>
          <w:p>
            <w:pPr>
              <w:snapToGrid w:val="0"/>
              <w:spacing w:line="300" w:lineRule="auto"/>
              <w:ind w:left="141" w:hanging="140" w:hangingChars="67"/>
              <w:jc w:val="left"/>
              <w:rPr>
                <w:rFonts w:hint="eastAsia" w:ascii="思源黑体" w:hAnsi="思源黑体" w:eastAsia="思源黑体" w:cs="Arial"/>
                <w:b w:val="0"/>
                <w:bCs/>
                <w:color w:val="000000"/>
                <w:sz w:val="21"/>
                <w:szCs w:val="21"/>
                <w:lang w:val="en-US" w:eastAsia="zh-CN"/>
              </w:rPr>
            </w:pPr>
          </w:p>
          <w:p>
            <w:pPr>
              <w:rPr>
                <w:rFonts w:hint="default" w:ascii="思源黑体" w:hAnsi="思源黑体" w:eastAsia="思源黑体" w:cs="Arial"/>
                <w:b w:val="0"/>
                <w:bCs/>
                <w:color w:val="000000"/>
                <w:sz w:val="21"/>
                <w:szCs w:val="21"/>
                <w:lang w:val="en-US" w:eastAsia="zh-CN"/>
              </w:rPr>
            </w:pPr>
            <w:r>
              <w:rPr>
                <w:rFonts w:hint="eastAsia" w:ascii="思源黑体" w:hAnsi="思源黑体" w:eastAsia="思源黑体" w:cs="Arial"/>
                <w:bCs/>
                <w:color w:val="000000"/>
              </w:rPr>
              <w:t>【股指】</w:t>
            </w:r>
            <w:r>
              <w:rPr>
                <w:rFonts w:hint="eastAsia" w:ascii="思源黑体" w:hAnsi="思源黑体" w:eastAsia="思源黑体" w:cs="Arial"/>
                <w:bCs/>
                <w:color w:val="000000"/>
                <w:lang w:val="en-US" w:eastAsia="zh-CN"/>
              </w:rPr>
              <w:t xml:space="preserve"> </w:t>
            </w:r>
            <w:r>
              <w:rPr>
                <w:rFonts w:hint="eastAsia" w:ascii="思源黑体" w:hAnsi="思源黑体" w:eastAsia="思源黑体" w:cs="Arial"/>
                <w:b w:val="0"/>
                <w:bCs/>
                <w:color w:val="000000"/>
                <w:sz w:val="21"/>
                <w:szCs w:val="21"/>
                <w:lang w:val="en-US" w:eastAsia="zh-CN"/>
              </w:rPr>
              <w:t>在农业养殖业、白酒以及房地产等板块的带动下，国内股市基本持平。基本面上，中国7月出口增速有所放缓，但外贸整体回升，净出口对经济的拉动有所减弱；但是，海外市场情绪回暖，或带动国内内风险偏好升温。操作方面，短期谨慎观望。</w:t>
            </w:r>
          </w:p>
          <w:p>
            <w:pPr>
              <w:snapToGrid w:val="0"/>
              <w:spacing w:line="300" w:lineRule="auto"/>
              <w:rPr>
                <w:rFonts w:hint="default" w:ascii="思源黑体" w:hAnsi="思源黑体" w:eastAsia="思源黑体" w:cs="Arial"/>
                <w:bCs/>
                <w:color w:val="000000"/>
                <w:lang w:val="en-US" w:eastAsia="zh-CN"/>
              </w:rPr>
            </w:pPr>
          </w:p>
          <w:p>
            <w:pPr>
              <w:snapToGrid w:val="0"/>
              <w:spacing w:line="300" w:lineRule="auto"/>
              <w:ind w:left="161" w:hanging="161" w:hangingChars="67"/>
              <w:jc w:val="left"/>
              <w:rPr>
                <w:rFonts w:ascii="思源黑体" w:hAnsi="思源黑体" w:eastAsia="思源黑体" w:cs="Arial"/>
                <w:b/>
                <w:color w:val="000000"/>
                <w:sz w:val="24"/>
                <w:szCs w:val="24"/>
              </w:rPr>
            </w:pPr>
            <w:r>
              <w:rPr>
                <w:rFonts w:hint="eastAsia" w:ascii="思源黑体" w:hAnsi="思源黑体" w:eastAsia="思源黑体" w:cs="Arial"/>
                <w:b/>
                <w:color w:val="000000"/>
                <w:sz w:val="24"/>
                <w:szCs w:val="24"/>
              </w:rPr>
              <w:t>黑色金属：表观消费明显回落，钢材期现货价格延续跌势</w:t>
            </w:r>
          </w:p>
          <w:p>
            <w:pPr>
              <w:snapToGrid w:val="0"/>
              <w:spacing w:line="300" w:lineRule="auto"/>
              <w:ind w:left="161" w:hanging="161" w:hangingChars="67"/>
              <w:jc w:val="left"/>
              <w:rPr>
                <w:rFonts w:hint="eastAsia" w:ascii="思源黑体" w:hAnsi="思源黑体" w:eastAsia="思源黑体" w:cs="Arial"/>
                <w:b/>
                <w:color w:val="000000"/>
                <w:sz w:val="24"/>
                <w:szCs w:val="24"/>
              </w:rPr>
            </w:pPr>
          </w:p>
          <w:p>
            <w:pPr>
              <w:snapToGrid w:val="0"/>
              <w:spacing w:line="300" w:lineRule="auto"/>
              <w:ind w:left="141" w:hanging="140" w:hangingChars="67"/>
              <w:jc w:val="left"/>
              <w:rPr>
                <w:rFonts w:hint="eastAsia" w:ascii="思源黑体" w:hAnsi="思源黑体" w:eastAsia="思源黑体" w:cs="Arial"/>
                <w:bCs/>
                <w:color w:val="000000"/>
              </w:rPr>
            </w:pPr>
            <w:r>
              <w:rPr>
                <w:rFonts w:ascii="思源黑体" w:hAnsi="思源黑体" w:eastAsia="思源黑体" w:cs="Arial"/>
                <w:bCs/>
                <w:color w:val="000000"/>
              </w:rPr>
              <mc:AlternateContent>
                <mc:Choice Requires="wps">
                  <w:drawing>
                    <wp:anchor distT="0" distB="0" distL="114300" distR="114300" simplePos="0" relativeHeight="251659264" behindDoc="0" locked="0" layoutInCell="1" allowOverlap="1">
                      <wp:simplePos x="0" y="0"/>
                      <wp:positionH relativeFrom="column">
                        <wp:posOffset>3081655</wp:posOffset>
                      </wp:positionH>
                      <wp:positionV relativeFrom="paragraph">
                        <wp:posOffset>22860</wp:posOffset>
                      </wp:positionV>
                      <wp:extent cx="18415" cy="108585"/>
                      <wp:effectExtent l="0" t="0" r="0" b="0"/>
                      <wp:wrapNone/>
                      <wp:docPr id="11" name="墨迹 11"/>
                      <wp:cNvGraphicFramePr/>
                      <a:graphic xmlns:a="http://schemas.openxmlformats.org/drawingml/2006/main">
                        <a:graphicData uri="http://schemas.microsoft.com/office/word/2010/wordprocessingInk">
                          <mc:AlternateContent xmlns:a14="http://schemas.microsoft.com/office/drawing/2010/main">
                            <mc:Choice Requires="a14">
                              <w14:contentPart bwMode="clr" r:id="rId9">
                                <w14:nvContentPartPr>
                                  <w14:cNvPr id="11" name="墨迹 11"/>
                                  <w14:cNvContentPartPr/>
                                </w14:nvContentPartPr>
                                <w14:xfrm>
                                  <a:off x="0" y="0"/>
                                  <a:ext cx="18415" cy="108585"/>
                                </w14:xfrm>
                              </w14:contentPart>
                            </mc:Choice>
                          </mc:AlternateContent>
                        </a:graphicData>
                      </a:graphic>
                    </wp:anchor>
                  </w:drawing>
                </mc:Choice>
                <mc:Fallback>
                  <w:pict>
                    <v:shape id="_x0000_s1026" o:spid="_x0000_s1026" o:spt="75" style="position:absolute;left:0pt;margin-left:242.65pt;margin-top:1.8pt;height:8.55pt;width:1.45pt;z-index:251659264;mso-width-relative:page;mso-height-relative:page;" coordsize="21600,21600" o:gfxdata="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">
                      <v:imagedata r:id="rId10" o:title=""/>
                      <o:lock v:ext="edit"/>
                    </v:shape>
                  </w:pict>
                </mc:Fallback>
              </mc:AlternateContent>
            </w:r>
            <w:r>
              <w:rPr>
                <w:rFonts w:hint="eastAsia" w:ascii="思源黑体" w:hAnsi="思源黑体" w:eastAsia="思源黑体" w:cs="Arial"/>
                <w:bCs/>
                <w:color w:val="000000"/>
              </w:rPr>
              <w:t>【钢材】周四，国内钢材期现货市场继续延续弱势，市场成交量小幅回落。现实需求继续走弱，本周钢联5大材库存环比下降24.78万吨，表观消费量环比回落46.22万吨。热卷库存继续延续回升趋势。供应方面，钢厂亏损幅度加剧，五大材产量环比回落60.55万吨，且后续减产仍有进一步扩大趋势。同时，原料价格下跌，产业链负反馈延续。短期钢材市场以震荡偏空思路对待。</w:t>
            </w:r>
          </w:p>
          <w:p>
            <w:pPr>
              <w:snapToGrid w:val="0"/>
              <w:spacing w:line="300" w:lineRule="auto"/>
              <w:ind w:left="141" w:hanging="140" w:hangingChars="67"/>
              <w:jc w:val="left"/>
              <w:rPr>
                <w:rFonts w:hint="eastAsia" w:ascii="思源黑体" w:hAnsi="思源黑体" w:eastAsia="思源黑体" w:cs="Arial"/>
                <w:bCs/>
                <w:color w:val="000000"/>
              </w:rPr>
            </w:pPr>
          </w:p>
          <w:p>
            <w:pPr>
              <w:snapToGrid w:val="0"/>
              <w:spacing w:line="300" w:lineRule="auto"/>
              <w:ind w:left="141" w:hanging="140" w:hangingChars="67"/>
              <w:jc w:val="left"/>
              <w:rPr>
                <w:rFonts w:hint="eastAsia" w:ascii="思源黑体" w:hAnsi="思源黑体" w:eastAsia="思源黑体" w:cs="Arial"/>
                <w:bCs/>
                <w:color w:val="000000"/>
              </w:rPr>
            </w:pPr>
            <w:r>
              <w:rPr>
                <w:rFonts w:ascii="思源黑体" w:hAnsi="思源黑体" w:eastAsia="思源黑体" w:cs="Arial"/>
                <w:bCs/>
                <w:color w:val="000000"/>
              </w:rPr>
              <mc:AlternateContent>
                <mc:Choice Requires="wps">
                  <w:drawing>
                    <wp:anchor distT="0" distB="0" distL="114300" distR="114300" simplePos="0" relativeHeight="251660288" behindDoc="0" locked="0" layoutInCell="1" allowOverlap="1">
                      <wp:simplePos x="0" y="0"/>
                      <wp:positionH relativeFrom="column">
                        <wp:posOffset>6221095</wp:posOffset>
                      </wp:positionH>
                      <wp:positionV relativeFrom="paragraph">
                        <wp:posOffset>982345</wp:posOffset>
                      </wp:positionV>
                      <wp:extent cx="18415" cy="108585"/>
                      <wp:effectExtent l="0" t="0" r="0" b="0"/>
                      <wp:wrapNone/>
                      <wp:docPr id="12" name="墨迹 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12" name="墨迹 12"/>
                                  <w14:cNvContentPartPr/>
                                </w14:nvContentPartPr>
                                <w14:xfrm>
                                  <a:off x="0" y="0"/>
                                  <a:ext cx="18415" cy="108585"/>
                                </w14:xfrm>
                              </w14:contentPart>
                            </mc:Choice>
                          </mc:AlternateContent>
                        </a:graphicData>
                      </a:graphic>
                    </wp:anchor>
                  </w:drawing>
                </mc:Choice>
                <mc:Fallback>
                  <w:pict>
                    <v:shape id="_x0000_s1026" o:spid="_x0000_s1026" o:spt="75" style="position:absolute;left:0pt;margin-left:489.85pt;margin-top:77.35pt;height:8.55pt;width:1.45pt;z-index:251660288;mso-width-relative:page;mso-height-relative:page;" coordsize="21600,21600" o:gfxdata="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">
                      <v:imagedata r:id="rId10" o:title=""/>
                      <o:lock v:ext="edit"/>
                    </v:shape>
                  </w:pict>
                </mc:Fallback>
              </mc:AlternateContent>
            </w:r>
            <w:r>
              <w:rPr>
                <w:rFonts w:hint="eastAsia" w:ascii="思源黑体" w:hAnsi="思源黑体" w:eastAsia="思源黑体" w:cs="Arial"/>
                <w:bCs/>
                <w:color w:val="000000"/>
              </w:rPr>
              <w:t>【铁矿石】周四，铁矿石期现货价格跌幅继续扩大。铁水绝对量依然处于高位，上周高炉日均铁水产量在236万吨。不过钢厂盈利占比降至个位数，铁水产量后期将有下降预期。且周三唐山地区再传限产政策升级消息。供应方面，季末冲量结束后，外矿供应有所回升，本周全球铁矿石发运量环比回升50万吨，到港量环比增加近1000万吨，供应压力有所增加。故铁矿石短期仍以震荡偏空思路对待，但需关注现货90美金附近支撑。</w:t>
            </w:r>
          </w:p>
          <w:p>
            <w:pPr>
              <w:snapToGrid w:val="0"/>
              <w:spacing w:line="300" w:lineRule="auto"/>
              <w:ind w:left="141" w:hanging="140" w:hangingChars="67"/>
              <w:jc w:val="left"/>
              <w:rPr>
                <w:rFonts w:hint="eastAsia" w:ascii="思源黑体" w:hAnsi="思源黑体" w:eastAsia="思源黑体" w:cs="Arial"/>
                <w:bCs/>
                <w:color w:val="000000"/>
              </w:rPr>
            </w:pPr>
          </w:p>
          <w:p>
            <w:pPr>
              <w:snapToGrid w:val="0"/>
              <w:spacing w:line="30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焦炭/焦煤】短期煤焦偏弱运行。日盘煤焦偏弱运行，不断探底，市场焦炭第三轮提降，唐山地区主流钢厂计划对湿熄焦炭价格下调50元/吨、干熄焦下调55元/吨，2024年8月10日0时起执行，煤焦呈现期现共振下行的走势。现货方面，焦煤现货流拍率较高；焦炭三轮提降落地，市场仍存在第四轮预期；供应方面，上周国产煤开工边际收缩，国产煤的开工依旧维持较低水平，进口煤方面，我国1-6月进口量可观，且6月蒙煤进口量回升，进口煤给于国产煤补充，需求方面，上周247家钢厂铁水日均产量环比下降，随着钢厂利润的压缩，钢厂检修增多，开工边际回落，整体煤焦需求偏弱，预计短期煤焦弱势震荡为主。上行风险：供应大幅增加，需求减少，宏观不及预期；上行风险：供应增量不及预期，需求增加，宏观利好。</w:t>
            </w:r>
          </w:p>
          <w:p>
            <w:pPr>
              <w:snapToGrid w:val="0"/>
              <w:spacing w:line="300" w:lineRule="auto"/>
              <w:ind w:left="141" w:hanging="140" w:hangingChars="67"/>
              <w:jc w:val="left"/>
              <w:rPr>
                <w:rFonts w:ascii="思源黑体" w:hAnsi="思源黑体" w:eastAsia="思源黑体" w:cs="Arial"/>
                <w:bCs/>
                <w:color w:val="000000"/>
              </w:rPr>
            </w:pPr>
          </w:p>
          <w:p>
            <w:pPr>
              <w:snapToGrid w:val="0"/>
              <w:spacing w:line="300" w:lineRule="auto"/>
              <w:ind w:left="141" w:hanging="140" w:hangingChars="67"/>
              <w:jc w:val="left"/>
              <w:rPr>
                <w:rFonts w:hint="eastAsia" w:ascii="思源黑体" w:hAnsi="思源黑体" w:eastAsia="思源黑体" w:cs="Arial"/>
                <w:bCs/>
                <w:color w:val="000000"/>
              </w:rPr>
            </w:pPr>
            <w:r>
              <w:rPr>
                <w:rFonts w:hint="eastAsia" w:ascii="思源黑体" w:hAnsi="思源黑体" w:eastAsia="思源黑体" w:cs="Arial"/>
                <w:bCs/>
                <w:color w:val="000000"/>
              </w:rPr>
              <w:t>【硅锰/硅铁】周四，硅锰、硅铁现货价格继续小幅下跌。6月份锰矿进口量降至年内低位，9月南32锰矿装船报价继续小幅上调；锰矿供应紧张问题依然存在，但已经不是当下市场关注焦点，当前市场更为关注高低品锰矿替代问题，上周锰矿港口库存增加32.3万吨，力度不及预期。同时，硅铁受内蒙古地区点价下调影响大幅下跌。前期推荐的多硅铁空硅锰策略建议逐步平仓。</w:t>
            </w:r>
          </w:p>
          <w:p>
            <w:pPr>
              <w:snapToGrid w:val="0"/>
              <w:spacing w:line="300" w:lineRule="auto"/>
              <w:rPr>
                <w:rFonts w:hint="default" w:ascii="思源黑体" w:hAnsi="思源黑体" w:eastAsia="思源黑体" w:cs="Arial"/>
                <w:bCs/>
                <w:color w:val="000000"/>
                <w:lang w:val="en-US" w:eastAsia="zh-CN"/>
              </w:rPr>
            </w:pP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
                <w:color w:val="000000"/>
                <w:sz w:val="24"/>
                <w:szCs w:val="24"/>
                <w:lang w:val="en-US" w:eastAsia="zh-CN"/>
              </w:rPr>
              <w:t>有色金属：就业与衰退情绪缓解，铜价共振反弹</w:t>
            </w:r>
            <w:r>
              <w:rPr>
                <w:rFonts w:ascii="宋体" w:hAnsi="宋体" w:eastAsia="宋体" w:cs="宋体"/>
                <w:sz w:val="24"/>
                <w:szCs w:val="24"/>
              </w:rPr>
              <w:br w:type="textWrapping"/>
            </w:r>
            <w:r>
              <w:rPr>
                <w:rFonts w:hint="eastAsia" w:ascii="思源黑体" w:hAnsi="思源黑体" w:eastAsia="思源黑体" w:cs="Arial"/>
                <w:bCs/>
                <w:color w:val="000000"/>
              </w:rPr>
              <w:br w:type="textWrapping"/>
            </w:r>
            <w:r>
              <w:rPr>
                <w:rFonts w:hint="eastAsia" w:ascii="思源黑体" w:hAnsi="思源黑体" w:eastAsia="思源黑体" w:cs="Arial"/>
                <w:bCs/>
                <w:color w:val="000000"/>
              </w:rPr>
              <w:t>【铜】宏观方面，8日晚公布的美国至8月3日当周初请失业金人数录得23.3万人，低于预期的24万，就业忧虑和衰退情绪得到一定程度的缓解，美元指数与铜价均出现一定幅度反弹。供应端，上周铜精矿现货加工费消费反弹至6.55美元/吨，环比上周小幅反弹；炼厂追产下精炼铜供应存在增长预期。需求端，铜价持续回落，下游补库有所好转，8月8日社库小幅去库1.01万吨至33.84万吨。下游消费在铜价回落后好转，精铜杆、铜板带开工率不断反弹。总体而言，该数据对宏观预期的影响较为短暂，铜价难以持续反弹，或仍以震荡为主。</w:t>
            </w:r>
            <w:r>
              <w:rPr>
                <w:rFonts w:hint="eastAsia" w:ascii="思源黑体" w:hAnsi="思源黑体" w:eastAsia="思源黑体" w:cs="Arial"/>
                <w:bCs/>
                <w:color w:val="000000"/>
              </w:rPr>
              <w:br w:type="textWrapping"/>
            </w:r>
            <w:r>
              <w:rPr>
                <w:rFonts w:hint="eastAsia" w:ascii="思源黑体" w:hAnsi="思源黑体" w:eastAsia="思源黑体" w:cs="Arial"/>
                <w:bCs/>
                <w:color w:val="000000"/>
              </w:rPr>
              <w:br w:type="textWrapping"/>
            </w:r>
            <w:r>
              <w:rPr>
                <w:rFonts w:hint="eastAsia" w:ascii="思源黑体" w:hAnsi="思源黑体" w:eastAsia="思源黑体" w:cs="Arial"/>
                <w:bCs/>
                <w:color w:val="000000"/>
              </w:rPr>
              <w:t>【锡】供应端，缅甸佤邦矿山复产仍然悬而不决，但在市场预期尚未回暖的情况下，资金再度炒作该题材的难度较大；云南江西两地周度开工率录得64.28%，赣州部分炼厂因矿端紧张而开工下滑。现货进口亏损再度扩大至-6000元/吨，进口窗口再度关闭。需求端，锡焊料消费受光伏影响而阶段性回落，锡化工则季节性走弱。受有色板块共振回落的影响，在沪锡基本面无主要矛盾支撑的情况下，期价反弹难以持续，或以震荡为主。</w:t>
            </w:r>
            <w:r>
              <w:rPr>
                <w:rFonts w:hint="eastAsia" w:ascii="思源黑体" w:hAnsi="思源黑体" w:eastAsia="思源黑体" w:cs="Arial"/>
                <w:bCs/>
                <w:color w:val="000000"/>
              </w:rPr>
              <w:br w:type="textWrapping"/>
            </w:r>
            <w:r>
              <w:rPr>
                <w:rFonts w:hint="eastAsia" w:ascii="思源黑体" w:hAnsi="思源黑体" w:eastAsia="思源黑体" w:cs="Arial"/>
                <w:bCs/>
                <w:color w:val="000000"/>
              </w:rPr>
              <w:br w:type="textWrapping"/>
            </w:r>
            <w:r>
              <w:rPr>
                <w:rFonts w:hint="eastAsia" w:ascii="思源黑体" w:hAnsi="思源黑体" w:eastAsia="思源黑体" w:cs="Arial"/>
                <w:bCs/>
                <w:color w:val="000000"/>
              </w:rPr>
              <w:t>【碳酸锂】供应端，国内碳酸锂炼厂生产成本多数处于8-9.5万之间，当前价格带来多数炼厂的生产亏损，炼厂停产检修的意愿增强，但在库存压力下，停产检修并不能带来期价的大幅反弹；由于国内价格下跌，进口亏损进一步扩大、7-8月进口量或回落。需求端方面，7月磷酸铁锂产量环比预计回落3.92%，三元材料产量预计环比增长16.3%，下游电池企业需求总体回落。由于碳酸锂生产技术带来成本不断下移，高库存下期价不具备持续大幅上涨的条件，叠加市场交易衰退预期，操作以压力位做空为宜。</w:t>
            </w:r>
          </w:p>
          <w:p>
            <w:pPr>
              <w:snapToGrid w:val="0"/>
              <w:spacing w:line="300" w:lineRule="auto"/>
              <w:rPr>
                <w:rFonts w:ascii="思源黑体" w:hAnsi="思源黑体" w:eastAsia="思源黑体" w:cs="Arial"/>
                <w:bCs/>
                <w:color w:val="000000"/>
              </w:rPr>
            </w:pPr>
          </w:p>
          <w:p>
            <w:pPr>
              <w:snapToGrid w:val="0"/>
              <w:spacing w:line="300" w:lineRule="auto"/>
              <w:ind w:left="161" w:hanging="161" w:hangingChars="67"/>
              <w:jc w:val="left"/>
              <w:rPr>
                <w:rFonts w:ascii="思源黑体" w:hAnsi="思源黑体" w:eastAsia="思源黑体" w:cs="Arial"/>
                <w:b/>
                <w:color w:val="000000"/>
                <w:sz w:val="24"/>
                <w:szCs w:val="24"/>
              </w:rPr>
            </w:pPr>
            <w:r>
              <w:rPr>
                <w:rFonts w:hint="eastAsia" w:ascii="思源黑体" w:hAnsi="思源黑体" w:eastAsia="思源黑体" w:cs="Arial"/>
                <w:b/>
                <w:color w:val="000000"/>
                <w:sz w:val="24"/>
                <w:szCs w:val="24"/>
              </w:rPr>
              <w:t>能源化工：经济数据及中东紧张局势缓解市场担忧情绪，油价继续抬升</w:t>
            </w:r>
          </w:p>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原油】美国就业数据缓解了需求担忧，而中东紧张局势也帮助油价从周一触及的8个月低位回升。截至8月3日当周，初申请失业金人数减少17000人，经季调后为23.3万人，预测为24万人，市场整体认为劳动力市场动能并没有像就业报告那样的放缓，强化了市场信心。另外哈马斯宣布新领导人，以色列也加强了对加沙地带的空袭，地缘紧张继续升级。</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沥青】近期沥青综合利润受到原油价格下行的支撑，修复明显。由此国内沥青装置检修量有所下降，供应有所提升。另外需求端，虽然8月整体降雨量有所减少，厂家出货量增加，厂库持续下行，但成交仍然以低价货为主，社会库去化幅度仍然相对有限，沥青供需两弱的局面仍然没有明显改观。原油反弹后，沥青小幅跟随，但上行阻力仍在，短期震荡行情将延续。</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PTA】基差继续大幅走弱至现货贴水，PTA盘面反弹力度极低，主力触及一年左右的低位。在供应存在上升预期和累库的情况下，下游聚酯开工仍然极为低迷，旺季前夕备货迹象极其寡淡，且跌价时刻观望情绪浓厚，原料备货医院偏低，导致PTA工厂库存继续上升，整体情绪较差，跌价资金仓位仍然加空，短期价格压制驱动较大，在未看到终端明显的订单好转之前，PTA价格将持续承压。</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乙二醇】由于终端低迷，乙二醇和其他聚酯品种一样下探低位。虽然吧恩州主港库存微幅下降，但是在下游库存仍然提高的基础上，市场对后期情绪极其悲观，乙二醇或在平衡状态转至小幅累库。虽然长期下游产能增长仍在，产能出清为至年底之前的价格作支撑，但短期价格受到需求压力较大，反弹需要时间发酵。</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甲醇】内蒙古甲醇市场价格稳中有升。内蒙北线2030-2070元/吨，内蒙南线2070元/吨。太仓甲醇市场价格震荡偏弱，基差走弱。现货价格参考2470-2475。8月下旬纸货参考2485-2495，9月下旬纸货参考2500-2510。8月下旬纸货参考2480-2490，9月下旬纸货参考2500-2510。隆众数据显示(20240802-0808)中国甲醇产量为1733695吨，较上周增加125410吨，装置产能利用率为82.54%，环比涨7.80%。</w:t>
            </w:r>
            <w:r>
              <w:rPr>
                <w:rFonts w:hint="eastAsia" w:ascii="思源黑体" w:hAnsi="思源黑体" w:eastAsia="思源黑体" w:cs="Arial"/>
                <w:bCs/>
                <w:color w:val="000000"/>
              </w:rPr>
              <w:fldChar w:fldCharType="begin"/>
            </w:r>
            <w:r>
              <w:rPr>
                <w:rFonts w:hint="eastAsia" w:ascii="思源黑体" w:hAnsi="思源黑体" w:eastAsia="思源黑体" w:cs="Arial"/>
                <w:bCs/>
                <w:color w:val="000000"/>
              </w:rPr>
              <w:instrText xml:space="preserve"> HYPERLINK "https://www.oilchem.net/seo-140-7.html?ivk_sa=1024320u" \t "_blank" </w:instrText>
            </w:r>
            <w:r>
              <w:rPr>
                <w:rFonts w:hint="eastAsia" w:ascii="思源黑体" w:hAnsi="思源黑体" w:eastAsia="思源黑体" w:cs="Arial"/>
                <w:bCs/>
                <w:color w:val="000000"/>
              </w:rPr>
              <w:fldChar w:fldCharType="separate"/>
            </w:r>
            <w:r>
              <w:rPr>
                <w:rFonts w:hint="eastAsia" w:ascii="思源黑体" w:hAnsi="思源黑体" w:eastAsia="思源黑体" w:cs="Arial"/>
                <w:bCs/>
                <w:color w:val="000000"/>
              </w:rPr>
              <w:t>甲醇</w:t>
            </w:r>
            <w:r>
              <w:rPr>
                <w:rFonts w:hint="eastAsia" w:ascii="思源黑体" w:hAnsi="思源黑体" w:eastAsia="思源黑体" w:cs="Arial"/>
                <w:bCs/>
                <w:color w:val="000000"/>
              </w:rPr>
              <w:fldChar w:fldCharType="end"/>
            </w:r>
            <w:r>
              <w:rPr>
                <w:rFonts w:hint="eastAsia" w:ascii="思源黑体" w:hAnsi="思源黑体" w:eastAsia="思源黑体" w:cs="Arial"/>
                <w:bCs/>
                <w:color w:val="000000"/>
              </w:rPr>
              <w:t>样本生产企业库存43.59万吨，较上期增加3.56万吨，涨幅8.89%。港口库存总量在94.05万吨，较上一期数据减少7.32万吨。周度数据显示去库，基本面存在改善。但近几日期货盘面继续走弱，基差跟随略有走弱。基本面上甲醇装置集中重启，供应增量兑现。进口到港卸货逐渐恢复，传统下游需求淡季。甲醇基本面供应压力凸显，现货支撑有限。09合约移仓预计波动下降，震荡偏弱为主。警惕宏观和原油风险。</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塑料】PE市场价格涨跌互现。华北地区LLDPE价格在8160-8380元/吨，华东地区LLDPE价格在8220-8600元/吨，华南地区LLDPE价格在8370-8600元/吨。进口利润上调，LDPE及HDPE中空进口窗口开启，HD注塑进口窗口待开启，其他类别均处于关闭状态。7月底8月初到港资源较多，进口资源压力凸显。PE装置逐渐开车，线性薄膜生产比例目前占比29.6%，年度平均水平在31.2%，相差1.6%，需求淡季变动不多，棚膜需求启动，但下游工厂需求未见改善。地缘政治对原油价格支撑有限，原油偏弱，PE价格仍承压，预计单边价格震荡偏弱。</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聚丙烯】PP市场价格偏弱整理，华北拉丝主流价格在7580-7670元/吨，华东拉丝主流价格在7500-7680元/吨，华南拉丝主流价格在7470-7620元/吨。PP美金市场报价平稳，均聚970-1025美元/吨，共聚990-1130美元/吨，吹膜1160美元/吨，透明1135美元/吨。京博聚烯烃一线（20万吨/年）PP装置停车检修。东莞巨正源二期一线（30万吨/年）PP装置停车检修。PP上游装置近期集中重启，产能利用率维持在75%左右，拉丝生产比例下降至25.99%。上游去库放缓，下游需求偏淡，成品库存高位，低价补库意愿下降，总库存量上涨，基本面压力凸显。</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61" w:hanging="161" w:hangingChars="67"/>
              <w:jc w:val="left"/>
              <w:rPr>
                <w:rFonts w:ascii="思源黑体" w:hAnsi="思源黑体" w:eastAsia="思源黑体" w:cs="Arial"/>
                <w:b/>
                <w:color w:val="000000"/>
                <w:sz w:val="24"/>
                <w:szCs w:val="24"/>
              </w:rPr>
            </w:pPr>
            <w:r>
              <w:rPr>
                <w:rFonts w:hint="eastAsia" w:ascii="思源黑体" w:hAnsi="思源黑体" w:eastAsia="思源黑体" w:cs="Arial"/>
                <w:b/>
                <w:color w:val="000000"/>
                <w:sz w:val="24"/>
                <w:szCs w:val="24"/>
              </w:rPr>
              <w:t>农产品：国内油脂弱势反弹但跌势未稳，关注MPOB供需供需指引</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bCs/>
                <w:color w:val="000000"/>
              </w:rPr>
            </w:pPr>
            <w:r>
              <w:rPr>
                <w:rFonts w:hint="eastAsia" w:ascii="思源黑体" w:hAnsi="思源黑体" w:eastAsia="思源黑体" w:cs="Arial"/>
                <w:bCs/>
                <w:color w:val="000000"/>
              </w:rPr>
              <w:t>【美豆】美国中西部产区现货价格下跌，丰产预期引导农户抛售旧作大豆腾仓，CBOT大豆持续走弱。目前天气有利于大豆的结荚，预期8月中旬后期高温少雨天气略加重，但整体市场风险较少，丰产局面难改。拉尼娜现象预计将在未来几个月内发展，巴西产量及出口预期可能降低，美豆单产上调的可能性也在增加，预期8月USDA供需报告或指引美豆价格继续回落。</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bCs/>
                <w:color w:val="000000"/>
              </w:rPr>
            </w:pPr>
            <w:r>
              <w:rPr>
                <w:rFonts w:hint="eastAsia" w:ascii="思源黑体" w:hAnsi="思源黑体" w:eastAsia="思源黑体" w:cs="Arial"/>
                <w:bCs/>
                <w:color w:val="000000"/>
              </w:rPr>
              <w:t>【蛋白粕】国内豆粕现货市场情绪坍塌，油厂下游资金追保压力增加，回购增加，油厂目前大豆和库存远超2021年同期库存水平，预期现货基差持续到三季度末也不会有明显改善。因此豆粕现货压力不缓解，美豆趋势下跌未变，整体蛋白市场空头市场维持不变。</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bCs/>
                <w:color w:val="000000"/>
              </w:rPr>
            </w:pPr>
            <w:r>
              <w:rPr>
                <w:rFonts w:hint="eastAsia" w:ascii="思源黑体" w:hAnsi="思源黑体" w:eastAsia="思源黑体" w:cs="Arial"/>
                <w:bCs/>
                <w:color w:val="000000"/>
              </w:rPr>
              <w:t>【豆菜油】目前美豆及加菜籽产区天气风险回落，豆菜油成本支撑减弱。国内豆菜油国内供需宽松、库存累库的基本面不变，受棕榈油价格走弱预期影响，豆菜油因缺乏支撑，价格重心预期也将进一步下移。</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bCs/>
                <w:color w:val="000000"/>
              </w:rPr>
            </w:pPr>
            <w:r>
              <w:rPr>
                <w:rFonts w:hint="eastAsia" w:ascii="思源黑体" w:hAnsi="思源黑体" w:eastAsia="思源黑体" w:cs="Arial"/>
                <w:bCs/>
                <w:color w:val="000000"/>
              </w:rPr>
              <w:t>【棕榈油】国际能源地缘政策带来的风险下跌，美豆油及马马总旅游价格弱势反弹。根据</w:t>
            </w:r>
            <w:r>
              <w:rPr>
                <w:rFonts w:ascii="思源黑体" w:hAnsi="思源黑体" w:eastAsia="思源黑体" w:cs="Arial"/>
                <w:bCs/>
                <w:color w:val="000000"/>
              </w:rPr>
              <w:t>MPOA发布的数据</w:t>
            </w:r>
            <w:r>
              <w:rPr>
                <w:rFonts w:hint="eastAsia" w:ascii="思源黑体" w:hAnsi="思源黑体" w:eastAsia="思源黑体" w:cs="Arial"/>
                <w:bCs/>
                <w:color w:val="000000"/>
              </w:rPr>
              <w:t>显示</w:t>
            </w:r>
            <w:r>
              <w:rPr>
                <w:rFonts w:ascii="思源黑体" w:hAnsi="思源黑体" w:eastAsia="思源黑体" w:cs="Arial"/>
                <w:bCs/>
                <w:color w:val="000000"/>
              </w:rPr>
              <w:t>，马来西亚7月1-31日棕榈油产量预估增加11.93%，其中马来半岛增加14.54%，马来东部增加7.24%，沙巴增加5.40%，沙捞越增加10.75%。</w:t>
            </w:r>
            <w:r>
              <w:rPr>
                <w:rFonts w:hint="eastAsia" w:ascii="思源黑体" w:hAnsi="思源黑体" w:eastAsia="思源黑体" w:cs="Arial"/>
                <w:bCs/>
                <w:color w:val="000000"/>
              </w:rPr>
              <w:t>我们预期马来7月以来的出口增加25%和增产13%，6月出口量基数低，累库预期不变。国内棕榈油供需宽松、基差暂稳，豆棕价差倒挂、需求预期不强，且将面临成本下行压力，预期价格跌势仍未结束</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bCs/>
                <w:color w:val="000000"/>
              </w:rPr>
            </w:pPr>
            <w:r>
              <w:rPr>
                <w:rFonts w:hint="eastAsia" w:ascii="思源黑体" w:hAnsi="思源黑体" w:eastAsia="思源黑体" w:cs="Arial"/>
                <w:bCs/>
                <w:color w:val="000000"/>
              </w:rPr>
              <w:t>【玉米】截止8月6日，约5%的美玉米种植区受到干旱影响，前一周为5%。周四市场利空情绪释放，空头减仓，盘面继续反弹，港口现货价格维持弱势。贸易商出货积极性高，而下游需求不佳且库存高位，部分企业停止收购。整体看，基本面变化不大，供需宽松，期价反弹后仍存小幅回落空间，观望为主。。</w:t>
            </w:r>
          </w:p>
          <w:p>
            <w:pPr>
              <w:snapToGrid w:val="0"/>
              <w:spacing w:line="300" w:lineRule="auto"/>
              <w:rPr>
                <w:rFonts w:ascii="思源黑体" w:hAnsi="思源黑体" w:eastAsia="思源黑体" w:cs="Arial"/>
                <w:bCs/>
                <w:color w:val="000000"/>
              </w:rPr>
            </w:pP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Cs/>
                <w:color w:val="000000"/>
              </w:rPr>
              <w:t>【生猪】近日</w:t>
            </w:r>
            <w:r>
              <w:rPr>
                <w:rFonts w:ascii="思源黑体" w:hAnsi="思源黑体" w:eastAsia="思源黑体" w:cs="Arial"/>
                <w:bCs/>
                <w:color w:val="000000"/>
              </w:rPr>
              <w:t>现货超预期上涨，期货预期走弱，期现反向大幅拉涨</w:t>
            </w:r>
            <w:r>
              <w:rPr>
                <w:rFonts w:hint="eastAsia" w:ascii="思源黑体" w:hAnsi="思源黑体" w:eastAsia="思源黑体" w:cs="Arial"/>
                <w:bCs/>
                <w:color w:val="000000"/>
              </w:rPr>
              <w:t>基差。今天预期</w:t>
            </w:r>
            <w:r>
              <w:rPr>
                <w:rFonts w:ascii="思源黑体" w:hAnsi="思源黑体" w:eastAsia="思源黑体" w:cs="Arial"/>
                <w:bCs/>
                <w:color w:val="000000"/>
              </w:rPr>
              <w:t>生猪现货</w:t>
            </w:r>
            <w:r>
              <w:rPr>
                <w:rFonts w:hint="eastAsia" w:ascii="思源黑体" w:hAnsi="思源黑体" w:eastAsia="思源黑体" w:cs="Arial"/>
                <w:bCs/>
                <w:color w:val="000000"/>
              </w:rPr>
              <w:t>降继续窄幅调整。</w:t>
            </w:r>
            <w:r>
              <w:rPr>
                <w:rFonts w:ascii="思源黑体" w:hAnsi="思源黑体" w:eastAsia="思源黑体" w:cs="Arial"/>
                <w:bCs/>
                <w:color w:val="000000"/>
              </w:rPr>
              <w:t>如果现货稳定，期货近月</w:t>
            </w:r>
            <w:r>
              <w:rPr>
                <w:rFonts w:hint="eastAsia" w:ascii="思源黑体" w:hAnsi="思源黑体" w:eastAsia="思源黑体" w:cs="Arial"/>
                <w:bCs/>
                <w:color w:val="000000"/>
              </w:rPr>
              <w:t>大概率</w:t>
            </w:r>
            <w:r>
              <w:rPr>
                <w:rFonts w:ascii="思源黑体" w:hAnsi="思源黑体" w:eastAsia="思源黑体" w:cs="Arial"/>
                <w:bCs/>
                <w:color w:val="000000"/>
              </w:rPr>
              <w:t>补涨</w:t>
            </w:r>
            <w:r>
              <w:rPr>
                <w:rFonts w:hint="eastAsia" w:ascii="思源黑体" w:hAnsi="思源黑体" w:eastAsia="思源黑体" w:cs="Arial"/>
                <w:bCs/>
                <w:color w:val="000000"/>
              </w:rPr>
              <w:t>。</w:t>
            </w:r>
            <w:r>
              <w:rPr>
                <w:rFonts w:ascii="思源黑体" w:hAnsi="思源黑体" w:eastAsia="思源黑体" w:cs="Arial"/>
                <w:bCs/>
                <w:color w:val="000000"/>
              </w:rPr>
              <w:t>下周生猪</w:t>
            </w:r>
            <w:r>
              <w:rPr>
                <w:rFonts w:hint="eastAsia" w:ascii="思源黑体" w:hAnsi="思源黑体" w:eastAsia="思源黑体" w:cs="Arial"/>
                <w:bCs/>
                <w:color w:val="000000"/>
              </w:rPr>
              <w:t>LH09合约</w:t>
            </w:r>
            <w:r>
              <w:rPr>
                <w:rFonts w:ascii="思源黑体" w:hAnsi="思源黑体" w:eastAsia="思源黑体" w:cs="Arial"/>
                <w:bCs/>
                <w:color w:val="000000"/>
              </w:rPr>
              <w:t>开始限仓，资金情绪</w:t>
            </w:r>
            <w:r>
              <w:rPr>
                <w:rFonts w:hint="eastAsia" w:ascii="思源黑体" w:hAnsi="思源黑体" w:eastAsia="思源黑体" w:cs="Arial"/>
                <w:bCs/>
                <w:color w:val="000000"/>
              </w:rPr>
              <w:t>或</w:t>
            </w:r>
            <w:r>
              <w:rPr>
                <w:rFonts w:ascii="思源黑体" w:hAnsi="思源黑体" w:eastAsia="思源黑体" w:cs="Arial"/>
                <w:bCs/>
                <w:color w:val="000000"/>
              </w:rPr>
              <w:t>更多会在11合约上宣泄</w:t>
            </w:r>
            <w:bookmarkStart w:id="0" w:name="_GoBack"/>
            <w:bookmarkEnd w:id="0"/>
            <w:r>
              <w:rPr>
                <w:rFonts w:ascii="思源黑体" w:hAnsi="思源黑体" w:eastAsia="思源黑体" w:cs="Arial"/>
                <w:bCs/>
                <w:color w:val="000000"/>
              </w:rPr>
              <w:t>。</w:t>
            </w:r>
          </w:p>
        </w:tc>
      </w:tr>
    </w:tbl>
    <w:p>
      <w:pPr>
        <w:pStyle w:val="28"/>
        <w:spacing w:line="14" w:lineRule="exact"/>
        <w:rPr>
          <w:rFonts w:ascii="思源黑体" w:hAnsi="思源黑体" w:eastAsia="思源黑体"/>
        </w:rPr>
        <w:sectPr>
          <w:headerReference r:id="rId4" w:type="first"/>
          <w:footerReference r:id="rId6" w:type="first"/>
          <w:headerReference r:id="rId3" w:type="default"/>
          <w:footerReference r:id="rId5" w:type="default"/>
          <w:pgSz w:w="11906" w:h="16838"/>
          <w:pgMar w:top="57" w:right="454" w:bottom="851" w:left="1247" w:header="851" w:footer="851" w:gutter="0"/>
          <w:cols w:space="425" w:num="1"/>
          <w:titlePg/>
          <w:docGrid w:type="lines" w:linePitch="312" w:charSpace="0"/>
        </w:sectPr>
      </w:pPr>
    </w:p>
    <w:p>
      <w:pPr>
        <w:pStyle w:val="9"/>
        <w:pageBreakBefore/>
        <w:widowControl w:val="0"/>
        <w:spacing w:before="156" w:beforeLines="50" w:after="40" w:line="540" w:lineRule="auto"/>
        <w:ind w:firstLine="420"/>
        <w:rPr>
          <w:rFonts w:ascii="思源黑体" w:hAnsi="思源黑体" w:eastAsia="思源黑体"/>
          <w:b/>
          <w:bCs/>
          <w:color w:val="D70C25"/>
          <w:sz w:val="24"/>
          <w:szCs w:val="22"/>
        </w:rPr>
      </w:pPr>
      <w:r>
        <w:rPr>
          <w:rFonts w:hint="eastAsia" w:ascii="思源黑体" w:hAnsi="思源黑体" w:eastAsia="思源黑体"/>
          <w:b/>
          <w:bCs/>
          <w:color w:val="D70C25"/>
          <w:sz w:val="24"/>
          <w:szCs w:val="22"/>
        </w:rPr>
        <w:t>重要声明</w:t>
      </w:r>
    </w:p>
    <w:p>
      <w:pPr>
        <w:pStyle w:val="9"/>
        <w:spacing w:line="480" w:lineRule="auto"/>
        <w:ind w:firstLine="897" w:firstLineChars="374"/>
        <w:rPr>
          <w:rFonts w:ascii="思源黑体" w:hAnsi="思源黑体" w:eastAsia="思源黑体"/>
          <w:sz w:val="24"/>
          <w:szCs w:val="24"/>
        </w:rPr>
      </w:pPr>
      <w:r>
        <w:rPr>
          <w:rFonts w:hint="eastAsia" w:ascii="思源黑体" w:hAnsi="思源黑体" w:eastAsia="思源黑体"/>
          <w:sz w:val="24"/>
          <w:szCs w:val="24"/>
        </w:rPr>
        <w:t>本报告由东海期货有限责任公司研究所团队完成，报告中信息均源于公开可获得资料。东海期货力求报告内容的客观、公正，但对这些信息的准确性及完整性不做任何保证，也不保证所包含的信息和建议不会发生任何变更。报告中的观点、结论和建议等全部内容只提供给客户做参考之用，并不构成对客户的投资建议，也未考虑个别客户特殊的投资目标、财务状况或需要，客户不应单纯依靠本报告而取代个人的独立判断。在任何情况下，本公司不对任何人因使用本报告中的任何内容所导致的任何损失负任何责任，交易者需自行承担风险。本报告版权仅为东海期货有限责任公司研究所所有，未经书面许可，任何机构和个人不得以任何形式翻版、复制发布，如引用、转载、刊发，须注明出处为东海期货有限责任公司。</w:t>
      </w:r>
    </w:p>
    <w:p>
      <w:pPr>
        <w:pStyle w:val="9"/>
        <w:spacing w:line="480" w:lineRule="auto"/>
        <w:ind w:firstLine="480" w:firstLineChars="200"/>
        <w:rPr>
          <w:rFonts w:ascii="思源黑体" w:hAnsi="思源黑体" w:eastAsia="思源黑体"/>
          <w:sz w:val="24"/>
          <w:szCs w:val="24"/>
        </w:rPr>
      </w:pPr>
    </w:p>
    <w:p>
      <w:pPr>
        <w:pStyle w:val="9"/>
        <w:spacing w:line="276" w:lineRule="auto"/>
        <w:ind w:firstLine="400" w:firstLineChars="200"/>
        <w:rPr>
          <w:rFonts w:ascii="思源黑体" w:hAnsi="思源黑体" w:eastAsia="思源黑体"/>
          <w:szCs w:val="20"/>
        </w:rPr>
      </w:pPr>
    </w:p>
    <w:tbl>
      <w:tblPr>
        <w:tblStyle w:val="14"/>
        <w:tblW w:w="5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170" w:type="dxa"/>
        </w:tblCellMar>
      </w:tblPr>
      <w:tblGrid>
        <w:gridCol w:w="5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b/>
                <w:bCs/>
                <w:color w:val="D70C25"/>
              </w:rPr>
            </w:pPr>
            <w:r>
              <w:rPr>
                <w:rFonts w:hint="eastAsia" w:ascii="思源黑体" w:hAnsi="思源黑体" w:eastAsia="思源黑体"/>
                <w:b/>
                <w:bCs/>
                <w:color w:val="C00000"/>
              </w:rPr>
              <w:t>东海期货有限责任公司研究所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rPr>
          <w:trHeight w:val="235" w:hRule="atLeast"/>
        </w:trPr>
        <w:tc>
          <w:tcPr>
            <w:tcW w:w="5386" w:type="dxa"/>
          </w:tcPr>
          <w:p>
            <w:pPr>
              <w:pStyle w:val="9"/>
              <w:autoSpaceDE w:val="0"/>
              <w:autoSpaceDN w:val="0"/>
              <w:rPr>
                <w:rFonts w:ascii="思源黑体" w:hAnsi="思源黑体" w:eastAsia="思源黑体"/>
              </w:rPr>
            </w:pPr>
            <w:r>
              <w:rPr>
                <w:rFonts w:hint="eastAsia" w:ascii="思源黑体" w:hAnsi="思源黑体" w:eastAsia="思源黑体"/>
              </w:rPr>
              <w:t>地址：上海浦东新区峨山路505号东方纯一大厦10楼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联系人：贾利军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电话：021-68757181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网址：www.qh168.com.cn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E-MAIL:Jialj@qh168.com.cn</w:t>
            </w:r>
          </w:p>
        </w:tc>
      </w:tr>
    </w:tbl>
    <w:p>
      <w:pPr>
        <w:tabs>
          <w:tab w:val="left" w:pos="4672"/>
        </w:tabs>
        <w:rPr>
          <w:rFonts w:ascii="思源黑体" w:hAnsi="思源黑体" w:eastAsia="思源黑体"/>
          <w:color w:val="000000"/>
          <w:sz w:val="20"/>
        </w:rPr>
      </w:pPr>
    </w:p>
    <w:sectPr>
      <w:headerReference r:id="rId7" w:type="default"/>
      <w:pgSz w:w="11906" w:h="16838"/>
      <w:pgMar w:top="1134" w:right="567" w:bottom="851" w:left="567" w:header="850"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兰亭圆简体">
    <w:altName w:val="微软雅黑"/>
    <w:panose1 w:val="00000000000000000000"/>
    <w:charset w:val="86"/>
    <w:family w:val="auto"/>
    <w:pitch w:val="default"/>
    <w:sig w:usb0="00000000" w:usb1="00000000" w:usb2="00000012" w:usb3="00000000" w:csb0="00040001" w:csb1="00000000"/>
  </w:font>
  <w:font w:name="思源黑体">
    <w:altName w:val="黑体"/>
    <w:panose1 w:val="020B0500000000000000"/>
    <w:charset w:val="86"/>
    <w:family w:val="auto"/>
    <w:pitch w:val="default"/>
    <w:sig w:usb0="00000000" w:usb1="00000000" w:usb2="00000016" w:usb3="00000000" w:csb0="602E0107"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思源黑体">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0" distR="0" simplePos="0" relativeHeight="251664384" behindDoc="1" locked="0" layoutInCell="1" allowOverlap="1">
              <wp:simplePos x="0" y="0"/>
              <wp:positionH relativeFrom="page">
                <wp:posOffset>318770</wp:posOffset>
              </wp:positionH>
              <wp:positionV relativeFrom="paragraph">
                <wp:posOffset>231140</wp:posOffset>
              </wp:positionV>
              <wp:extent cx="6947535" cy="244475"/>
              <wp:effectExtent l="0" t="0" r="5715" b="3175"/>
              <wp:wrapNone/>
              <wp:docPr id="4102" name="文本框 2"/>
              <wp:cNvGraphicFramePr/>
              <a:graphic xmlns:a="http://schemas.openxmlformats.org/drawingml/2006/main">
                <a:graphicData uri="http://schemas.microsoft.com/office/word/2010/wordprocessingShape">
                  <wps:wsp>
                    <wps:cNvSpPr/>
                    <wps:spPr>
                      <a:xfrm>
                        <a:off x="0" y="0"/>
                        <a:ext cx="6947535" cy="244475"/>
                      </a:xfrm>
                      <a:prstGeom prst="rect">
                        <a:avLst/>
                      </a:prstGeom>
                      <a:ln>
                        <a:noFill/>
                      </a:ln>
                    </wps:spPr>
                    <wps:txbx>
                      <w:txbxContent>
                        <w:tbl>
                          <w:tblPr>
                            <w:tblStyle w:val="14"/>
                            <w:tblW w:w="1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45"/>
                            <w:gridCol w:w="3119"/>
                            <w:gridCol w:w="2568"/>
                            <w:gridCol w:w="3644"/>
                            <w:gridCol w:w="3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45" w:type="dxa"/>
                                <w:vAlign w:val="center"/>
                              </w:tcPr>
                              <w:p>
                                <w:pPr>
                                  <w:pStyle w:val="28"/>
                                  <w:rPr>
                                    <w:rFonts w:ascii="Arial" w:hAnsi="Arial"/>
                                    <w:b/>
                                    <w:sz w:val="16"/>
                                  </w:rPr>
                                </w:pPr>
                                <w:r>
                                  <w:rPr>
                                    <w:rFonts w:ascii="Arial" w:hAnsi="Arial"/>
                                    <w:b/>
                                    <w:sz w:val="16"/>
                                  </w:rPr>
                                  <w:t>HTTP://WWW.QH168.COM.CN</w:t>
                                </w:r>
                              </w:p>
                            </w:tc>
                            <w:tc>
                              <w:tcPr>
                                <w:tcW w:w="3119" w:type="dxa"/>
                                <w:vAlign w:val="center"/>
                              </w:tcPr>
                              <w:p>
                                <w:pPr>
                                  <w:pStyle w:val="28"/>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3</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p>
                            </w:tc>
                            <w:tc>
                              <w:tcPr>
                                <w:tcW w:w="2568" w:type="dxa"/>
                                <w:vAlign w:val="center"/>
                              </w:tcPr>
                              <w:p>
                                <w:pPr>
                                  <w:pStyle w:val="28"/>
                                  <w:rPr>
                                    <w:rFonts w:ascii="Arial" w:hAnsi="Arial"/>
                                    <w:b/>
                                    <w:spacing w:val="40"/>
                                    <w:sz w:val="16"/>
                                  </w:rPr>
                                </w:pPr>
                                <w:r>
                                  <w:rPr>
                                    <w:rFonts w:hint="eastAsia" w:ascii="Arial" w:hAnsi="Arial"/>
                                    <w:b/>
                                    <w:sz w:val="16"/>
                                  </w:rPr>
                                  <w:t>请务必仔细阅读正文后免责申明</w:t>
                                </w:r>
                              </w:p>
                            </w:tc>
                            <w:tc>
                              <w:tcPr>
                                <w:tcW w:w="3644" w:type="dxa"/>
                                <w:vAlign w:val="center"/>
                              </w:tcPr>
                              <w:p>
                                <w:pPr>
                                  <w:pStyle w:val="28"/>
                                  <w:rPr>
                                    <w:rFonts w:ascii="Arial" w:hAnsi="Arial"/>
                                    <w:b/>
                                    <w:sz w:val="16"/>
                                  </w:rPr>
                                </w:pPr>
                                <w:r>
                                  <w:rPr>
                                    <w:rFonts w:ascii="Arial" w:hAnsi="Arial"/>
                                    <w:b/>
                                    <w:spacing w:val="40"/>
                                    <w:sz w:val="16"/>
                                  </w:rPr>
                                  <w:fldChar w:fldCharType="begin"/>
                                </w:r>
                                <w:r>
                                  <w:rPr>
                                    <w:rFonts w:ascii="Arial" w:hAnsi="Arial"/>
                                    <w:b/>
                                    <w:spacing w:val="40"/>
                                    <w:sz w:val="16"/>
                                  </w:rPr>
                                  <w:instrText xml:space="preserve"> PAGE  \* Arabic </w:instrText>
                                </w:r>
                                <w:r>
                                  <w:rPr>
                                    <w:rFonts w:ascii="Arial" w:hAnsi="Arial"/>
                                    <w:b/>
                                    <w:spacing w:val="40"/>
                                    <w:sz w:val="16"/>
                                  </w:rPr>
                                  <w:fldChar w:fldCharType="separate"/>
                                </w:r>
                                <w:r>
                                  <w:rPr>
                                    <w:rFonts w:ascii="Arial" w:hAnsi="Arial"/>
                                    <w:b/>
                                    <w:spacing w:val="40"/>
                                    <w:sz w:val="16"/>
                                  </w:rPr>
                                  <w:t>3</w:t>
                                </w:r>
                                <w:r>
                                  <w:rPr>
                                    <w:rFonts w:ascii="Arial" w:hAnsi="Arial"/>
                                    <w:b/>
                                    <w:spacing w:val="40"/>
                                    <w:sz w:val="16"/>
                                  </w:rPr>
                                  <w:fldChar w:fldCharType="end"/>
                                </w:r>
                                <w:r>
                                  <w:rPr>
                                    <w:rFonts w:ascii="Arial" w:hAnsi="Arial"/>
                                    <w:b/>
                                    <w:spacing w:val="40"/>
                                    <w:sz w:val="16"/>
                                  </w:rPr>
                                  <w:t>/</w:t>
                                </w:r>
                                <w:r>
                                  <w:rPr>
                                    <w:rFonts w:ascii="Arial" w:hAnsi="Arial"/>
                                    <w:b/>
                                    <w:sz w:val="16"/>
                                  </w:rPr>
                                  <w:fldChar w:fldCharType="begin"/>
                                </w:r>
                                <w:r>
                                  <w:rPr>
                                    <w:rFonts w:ascii="Arial" w:hAnsi="Arial"/>
                                    <w:b/>
                                    <w:sz w:val="16"/>
                                  </w:rPr>
                                  <w:instrText xml:space="preserve"> NUMPAGES  \* Arabic </w:instrText>
                                </w:r>
                                <w:r>
                                  <w:rPr>
                                    <w:rFonts w:ascii="Arial" w:hAnsi="Arial"/>
                                    <w:b/>
                                    <w:sz w:val="16"/>
                                  </w:rPr>
                                  <w:fldChar w:fldCharType="separate"/>
                                </w:r>
                                <w:r>
                                  <w:rPr>
                                    <w:rFonts w:ascii="Arial" w:hAnsi="Arial"/>
                                    <w:b/>
                                    <w:sz w:val="16"/>
                                  </w:rPr>
                                  <w:t>6</w:t>
                                </w:r>
                                <w:r>
                                  <w:rPr>
                                    <w:rFonts w:ascii="Arial" w:hAnsi="Arial"/>
                                    <w:b/>
                                    <w:sz w:val="16"/>
                                  </w:rPr>
                                  <w:fldChar w:fldCharType="end"/>
                                </w:r>
                              </w:p>
                            </w:tc>
                            <w:tc>
                              <w:tcPr>
                                <w:tcW w:w="3644" w:type="dxa"/>
                                <w:vAlign w:val="center"/>
                              </w:tcPr>
                              <w:p>
                                <w:pPr>
                                  <w:pStyle w:val="28"/>
                                  <w:jc w:val="right"/>
                                  <w:rPr>
                                    <w:rFonts w:ascii="Arial" w:hAnsi="Arial"/>
                                    <w:b/>
                                    <w:sz w:val="16"/>
                                  </w:rPr>
                                </w:pPr>
                                <w:r>
                                  <w:rPr>
                                    <w:rFonts w:hint="eastAsia" w:ascii="Arial" w:hAnsi="Arial"/>
                                    <w:b/>
                                    <w:sz w:val="16"/>
                                  </w:rPr>
                                  <w:t>请务必仔细阅读正文后免责申明</w:t>
                                </w:r>
                              </w:p>
                            </w:tc>
                          </w:tr>
                        </w:tbl>
                        <w:p>
                          <w:pPr>
                            <w:pStyle w:val="9"/>
                          </w:pPr>
                        </w:p>
                      </w:txbxContent>
                    </wps:txbx>
                    <wps:bodyPr vert="horz" wrap="square" lIns="0" tIns="0" rIns="0" bIns="0" anchor="t">
                      <a:noAutofit/>
                    </wps:bodyPr>
                  </wps:wsp>
                </a:graphicData>
              </a:graphic>
            </wp:anchor>
          </w:drawing>
        </mc:Choice>
        <mc:Fallback>
          <w:pict>
            <v:rect id="文本框 2" o:spid="_x0000_s1026" o:spt="1" style="position:absolute;left:0pt;margin-left:25.1pt;margin-top:18.2pt;height:19.25pt;width:547.05pt;mso-position-horizontal-relative:page;z-index:-251652096;mso-width-relative:page;mso-height-relative:page;" filled="f" stroked="f" coordsize="21600,21600" o:gfxdata="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Tevi/aAAAACQEAAA8AAAAAAAAAAQAgAAAA&#10;IgAAAGRycy9kb3ducmV2LnhtbFBLAQIUABQAAAAIAIdO4kAwXGnW0AEAAJMDAAAOAAAAAAAAAAEA&#10;IAAAACkBAABkcnMvZTJvRG9jLnhtbFBLBQYAAAAABgAGAFkBAABrBQAAAAA=&#10;">
              <v:fill on="f" focussize="0,0"/>
              <v:stroke on="f"/>
              <v:imagedata o:title=""/>
              <o:lock v:ext="edit" aspectratio="f"/>
              <v:textbox inset="0mm,0mm,0mm,0mm">
                <w:txbxContent>
                  <w:tbl>
                    <w:tblPr>
                      <w:tblStyle w:val="14"/>
                      <w:tblW w:w="1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45"/>
                      <w:gridCol w:w="3119"/>
                      <w:gridCol w:w="2568"/>
                      <w:gridCol w:w="3644"/>
                      <w:gridCol w:w="3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45" w:type="dxa"/>
                          <w:vAlign w:val="center"/>
                        </w:tcPr>
                        <w:p>
                          <w:pPr>
                            <w:pStyle w:val="28"/>
                            <w:rPr>
                              <w:rFonts w:ascii="Arial" w:hAnsi="Arial"/>
                              <w:b/>
                              <w:sz w:val="16"/>
                            </w:rPr>
                          </w:pPr>
                          <w:r>
                            <w:rPr>
                              <w:rFonts w:ascii="Arial" w:hAnsi="Arial"/>
                              <w:b/>
                              <w:sz w:val="16"/>
                            </w:rPr>
                            <w:t>HTTP://WWW.QH168.COM.CN</w:t>
                          </w:r>
                        </w:p>
                      </w:tc>
                      <w:tc>
                        <w:tcPr>
                          <w:tcW w:w="3119" w:type="dxa"/>
                          <w:vAlign w:val="center"/>
                        </w:tcPr>
                        <w:p>
                          <w:pPr>
                            <w:pStyle w:val="28"/>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3</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p>
                      </w:tc>
                      <w:tc>
                        <w:tcPr>
                          <w:tcW w:w="2568" w:type="dxa"/>
                          <w:vAlign w:val="center"/>
                        </w:tcPr>
                        <w:p>
                          <w:pPr>
                            <w:pStyle w:val="28"/>
                            <w:rPr>
                              <w:rFonts w:ascii="Arial" w:hAnsi="Arial"/>
                              <w:b/>
                              <w:spacing w:val="40"/>
                              <w:sz w:val="16"/>
                            </w:rPr>
                          </w:pPr>
                          <w:r>
                            <w:rPr>
                              <w:rFonts w:hint="eastAsia" w:ascii="Arial" w:hAnsi="Arial"/>
                              <w:b/>
                              <w:sz w:val="16"/>
                            </w:rPr>
                            <w:t>请务必仔细阅读正文后免责申明</w:t>
                          </w:r>
                        </w:p>
                      </w:tc>
                      <w:tc>
                        <w:tcPr>
                          <w:tcW w:w="3644" w:type="dxa"/>
                          <w:vAlign w:val="center"/>
                        </w:tcPr>
                        <w:p>
                          <w:pPr>
                            <w:pStyle w:val="28"/>
                            <w:rPr>
                              <w:rFonts w:ascii="Arial" w:hAnsi="Arial"/>
                              <w:b/>
                              <w:sz w:val="16"/>
                            </w:rPr>
                          </w:pPr>
                          <w:r>
                            <w:rPr>
                              <w:rFonts w:ascii="Arial" w:hAnsi="Arial"/>
                              <w:b/>
                              <w:spacing w:val="40"/>
                              <w:sz w:val="16"/>
                            </w:rPr>
                            <w:fldChar w:fldCharType="begin"/>
                          </w:r>
                          <w:r>
                            <w:rPr>
                              <w:rFonts w:ascii="Arial" w:hAnsi="Arial"/>
                              <w:b/>
                              <w:spacing w:val="40"/>
                              <w:sz w:val="16"/>
                            </w:rPr>
                            <w:instrText xml:space="preserve"> PAGE  \* Arabic </w:instrText>
                          </w:r>
                          <w:r>
                            <w:rPr>
                              <w:rFonts w:ascii="Arial" w:hAnsi="Arial"/>
                              <w:b/>
                              <w:spacing w:val="40"/>
                              <w:sz w:val="16"/>
                            </w:rPr>
                            <w:fldChar w:fldCharType="separate"/>
                          </w:r>
                          <w:r>
                            <w:rPr>
                              <w:rFonts w:ascii="Arial" w:hAnsi="Arial"/>
                              <w:b/>
                              <w:spacing w:val="40"/>
                              <w:sz w:val="16"/>
                            </w:rPr>
                            <w:t>3</w:t>
                          </w:r>
                          <w:r>
                            <w:rPr>
                              <w:rFonts w:ascii="Arial" w:hAnsi="Arial"/>
                              <w:b/>
                              <w:spacing w:val="40"/>
                              <w:sz w:val="16"/>
                            </w:rPr>
                            <w:fldChar w:fldCharType="end"/>
                          </w:r>
                          <w:r>
                            <w:rPr>
                              <w:rFonts w:ascii="Arial" w:hAnsi="Arial"/>
                              <w:b/>
                              <w:spacing w:val="40"/>
                              <w:sz w:val="16"/>
                            </w:rPr>
                            <w:t>/</w:t>
                          </w:r>
                          <w:r>
                            <w:rPr>
                              <w:rFonts w:ascii="Arial" w:hAnsi="Arial"/>
                              <w:b/>
                              <w:sz w:val="16"/>
                            </w:rPr>
                            <w:fldChar w:fldCharType="begin"/>
                          </w:r>
                          <w:r>
                            <w:rPr>
                              <w:rFonts w:ascii="Arial" w:hAnsi="Arial"/>
                              <w:b/>
                              <w:sz w:val="16"/>
                            </w:rPr>
                            <w:instrText xml:space="preserve"> NUMPAGES  \* Arabic </w:instrText>
                          </w:r>
                          <w:r>
                            <w:rPr>
                              <w:rFonts w:ascii="Arial" w:hAnsi="Arial"/>
                              <w:b/>
                              <w:sz w:val="16"/>
                            </w:rPr>
                            <w:fldChar w:fldCharType="separate"/>
                          </w:r>
                          <w:r>
                            <w:rPr>
                              <w:rFonts w:ascii="Arial" w:hAnsi="Arial"/>
                              <w:b/>
                              <w:sz w:val="16"/>
                            </w:rPr>
                            <w:t>6</w:t>
                          </w:r>
                          <w:r>
                            <w:rPr>
                              <w:rFonts w:ascii="Arial" w:hAnsi="Arial"/>
                              <w:b/>
                              <w:sz w:val="16"/>
                            </w:rPr>
                            <w:fldChar w:fldCharType="end"/>
                          </w:r>
                        </w:p>
                      </w:tc>
                      <w:tc>
                        <w:tcPr>
                          <w:tcW w:w="3644" w:type="dxa"/>
                          <w:vAlign w:val="center"/>
                        </w:tcPr>
                        <w:p>
                          <w:pPr>
                            <w:pStyle w:val="28"/>
                            <w:jc w:val="right"/>
                            <w:rPr>
                              <w:rFonts w:ascii="Arial" w:hAnsi="Arial"/>
                              <w:b/>
                              <w:sz w:val="16"/>
                            </w:rPr>
                          </w:pPr>
                          <w:r>
                            <w:rPr>
                              <w:rFonts w:hint="eastAsia" w:ascii="Arial" w:hAnsi="Arial"/>
                              <w:b/>
                              <w:sz w:val="16"/>
                            </w:rPr>
                            <w:t>请务必仔细阅读正文后免责申明</w:t>
                          </w:r>
                        </w:p>
                      </w:tc>
                    </w:tr>
                  </w:tbl>
                  <w:p>
                    <w:pPr>
                      <w:pStyle w:val="9"/>
                    </w:pPr>
                  </w:p>
                </w:txbxContent>
              </v:textbox>
            </v:rect>
          </w:pict>
        </mc:Fallback>
      </mc:AlternateContent>
    </w:r>
    <w:r>
      <mc:AlternateContent>
        <mc:Choice Requires="wps">
          <w:drawing>
            <wp:anchor distT="0" distB="0" distL="0" distR="0" simplePos="0" relativeHeight="251665408" behindDoc="1" locked="0" layoutInCell="1" allowOverlap="1">
              <wp:simplePos x="0" y="0"/>
              <wp:positionH relativeFrom="page">
                <wp:posOffset>226695</wp:posOffset>
              </wp:positionH>
              <wp:positionV relativeFrom="paragraph">
                <wp:posOffset>144145</wp:posOffset>
              </wp:positionV>
              <wp:extent cx="7106285" cy="46990"/>
              <wp:effectExtent l="0" t="0" r="0" b="0"/>
              <wp:wrapNone/>
              <wp:docPr id="4103" name="文本框 2"/>
              <wp:cNvGraphicFramePr/>
              <a:graphic xmlns:a="http://schemas.openxmlformats.org/drawingml/2006/main">
                <a:graphicData uri="http://schemas.microsoft.com/office/word/2010/wordprocessingShape">
                  <wps:wsp>
                    <wps:cNvSpPr/>
                    <wps:spPr>
                      <a:xfrm>
                        <a:off x="0" y="0"/>
                        <a:ext cx="7106285" cy="46989"/>
                      </a:xfrm>
                      <a:prstGeom prst="rect">
                        <a:avLst/>
                      </a:prstGeom>
                      <a:solidFill>
                        <a:srgbClr val="AE0C21"/>
                      </a:solidFill>
                      <a:ln>
                        <a:noFill/>
                      </a:ln>
                    </wps:spPr>
                    <wps:txbx>
                      <w:txbxContent>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7.85pt;margin-top:11.35pt;height:3.7pt;width:559.55pt;mso-position-horizontal-relative:page;z-index:-251651072;mso-width-relative:page;mso-height-relative:page;" fillcolor="#AE0C21" filled="t" stroked="f" coordsize="21600,21600" o:gfxdata="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HuevjYAAAACQEAAA8AAAAAAAAAAQAgAAAAIgAAAGRycy9kb3ducmV2LnhtbFBLAQIU&#10;ABQAAAAIAIdO4kAnAw+m8wEAANYDAAAOAAAAAAAAAAEAIAAAACcBAABkcnMvZTJvRG9jLnhtbFBL&#10;BQYAAAAABgAGAFkBAACMBQAAAAA=&#10;">
              <v:fill on="t" focussize="0,0"/>
              <v:stroke on="f"/>
              <v:imagedata o:title=""/>
              <o:lock v:ext="edit" aspectratio="f"/>
              <v:textbox>
                <w:txbxContent>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0" distR="0" simplePos="0" relativeHeight="251671552" behindDoc="1" locked="0" layoutInCell="1" allowOverlap="1">
              <wp:simplePos x="0" y="0"/>
              <wp:positionH relativeFrom="page">
                <wp:posOffset>226695</wp:posOffset>
              </wp:positionH>
              <wp:positionV relativeFrom="paragraph">
                <wp:posOffset>144145</wp:posOffset>
              </wp:positionV>
              <wp:extent cx="7106285" cy="46990"/>
              <wp:effectExtent l="0" t="0" r="0" b="0"/>
              <wp:wrapNone/>
              <wp:docPr id="4111" name="文本框 2"/>
              <wp:cNvGraphicFramePr/>
              <a:graphic xmlns:a="http://schemas.openxmlformats.org/drawingml/2006/main">
                <a:graphicData uri="http://schemas.microsoft.com/office/word/2010/wordprocessingShape">
                  <wps:wsp>
                    <wps:cNvSpPr/>
                    <wps:spPr>
                      <a:xfrm>
                        <a:off x="0" y="0"/>
                        <a:ext cx="7106285" cy="46989"/>
                      </a:xfrm>
                      <a:prstGeom prst="rect">
                        <a:avLst/>
                      </a:prstGeom>
                      <a:solidFill>
                        <a:srgbClr val="AE0C21"/>
                      </a:solidFill>
                      <a:ln>
                        <a:noFill/>
                      </a:ln>
                    </wps:spPr>
                    <wps:txbx>
                      <w:txbxContent>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7.85pt;margin-top:11.35pt;height:3.7pt;width:559.55pt;mso-position-horizontal-relative:page;z-index:-251644928;mso-width-relative:page;mso-height-relative:page;" fillcolor="#AE0C21" filled="t" stroked="f" coordsize="21600,21600" o:gfxdata="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HuevjYAAAACQEAAA8AAAAAAAAAAQAgAAAAIgAAAGRycy9kb3ducmV2LnhtbFBLAQIU&#10;ABQAAAAIAIdO4kDk3tzj8wEAANYDAAAOAAAAAAAAAAEAIAAAACcBAABkcnMvZTJvRG9jLnhtbFBL&#10;BQYAAAAABgAGAFkBAACMBQAAAAA=&#10;">
              <v:fill on="t" focussize="0,0"/>
              <v:stroke on="f"/>
              <v:imagedata o:title=""/>
              <o:lock v:ext="edit" aspectratio="f"/>
              <v:textbox>
                <w:txbxContent>
                  <w:p/>
                </w:txbxContent>
              </v:textbox>
            </v:rect>
          </w:pict>
        </mc:Fallback>
      </mc:AlternateContent>
    </w:r>
    <w:r>
      <mc:AlternateContent>
        <mc:Choice Requires="wps">
          <w:drawing>
            <wp:anchor distT="0" distB="0" distL="0" distR="0" simplePos="0" relativeHeight="251672576" behindDoc="1" locked="0" layoutInCell="1" allowOverlap="1">
              <wp:simplePos x="0" y="0"/>
              <wp:positionH relativeFrom="page">
                <wp:posOffset>323850</wp:posOffset>
              </wp:positionH>
              <wp:positionV relativeFrom="paragraph">
                <wp:posOffset>234315</wp:posOffset>
              </wp:positionV>
              <wp:extent cx="6948170" cy="215900"/>
              <wp:effectExtent l="0" t="0" r="5715" b="12700"/>
              <wp:wrapNone/>
              <wp:docPr id="4112" name="文本框 2"/>
              <wp:cNvGraphicFramePr/>
              <a:graphic xmlns:a="http://schemas.openxmlformats.org/drawingml/2006/main">
                <a:graphicData uri="http://schemas.microsoft.com/office/word/2010/wordprocessingShape">
                  <wps:wsp>
                    <wps:cNvSpPr/>
                    <wps:spPr>
                      <a:xfrm>
                        <a:off x="0" y="0"/>
                        <a:ext cx="6948170" cy="215899"/>
                      </a:xfrm>
                      <a:prstGeom prst="rect">
                        <a:avLst/>
                      </a:prstGeom>
                      <a:ln>
                        <a:noFill/>
                      </a:ln>
                    </wps:spPr>
                    <wps:txbx>
                      <w:txbxContent>
                        <w:tbl>
                          <w:tblPr>
                            <w:tblStyle w:val="14"/>
                            <w:tblW w:w="109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gridCol w:w="5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466" w:type="dxa"/>
                                <w:vAlign w:val="center"/>
                              </w:tcPr>
                              <w:p>
                                <w:pPr>
                                  <w:pStyle w:val="28"/>
                                  <w:rPr>
                                    <w:rFonts w:ascii="Arial" w:hAnsi="Arial"/>
                                    <w:b/>
                                    <w:sz w:val="16"/>
                                  </w:rPr>
                                </w:pPr>
                                <w:r>
                                  <w:rPr>
                                    <w:rFonts w:ascii="Arial" w:hAnsi="Arial"/>
                                    <w:b/>
                                    <w:sz w:val="16"/>
                                  </w:rPr>
                                  <w:t>HTTP://WWW.QH168.COM.CN</w:t>
                                </w:r>
                              </w:p>
                            </w:tc>
                            <w:tc>
                              <w:tcPr>
                                <w:tcW w:w="5466" w:type="dxa"/>
                                <w:vAlign w:val="center"/>
                              </w:tcPr>
                              <w:p>
                                <w:pPr>
                                  <w:pStyle w:val="28"/>
                                  <w:ind w:right="160"/>
                                  <w:jc w:val="right"/>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r>
                                  <w:rPr>
                                    <w:rFonts w:ascii="Arial" w:hAnsi="Arial"/>
                                    <w:b/>
                                    <w:bCs/>
                                    <w:sz w:val="16"/>
                                  </w:rPr>
                                  <w:t xml:space="preserve">                                </w:t>
                                </w:r>
                                <w:r>
                                  <w:rPr>
                                    <w:rFonts w:hint="eastAsia" w:ascii="Arial" w:hAnsi="Arial"/>
                                    <w:b/>
                                    <w:sz w:val="16"/>
                                  </w:rPr>
                                  <w:t>请务必仔细阅读正文后免责申明</w:t>
                                </w:r>
                              </w:p>
                            </w:tc>
                          </w:tr>
                        </w:tbl>
                        <w:p>
                          <w:pPr>
                            <w:pStyle w:val="9"/>
                            <w:jc w:val="right"/>
                          </w:pPr>
                        </w:p>
                      </w:txbxContent>
                    </wps:txbx>
                    <wps:bodyPr vert="horz" wrap="square" lIns="0" tIns="0" rIns="0" bIns="0" anchor="t">
                      <a:noAutofit/>
                    </wps:bodyPr>
                  </wps:wsp>
                </a:graphicData>
              </a:graphic>
            </wp:anchor>
          </w:drawing>
        </mc:Choice>
        <mc:Fallback>
          <w:pict>
            <v:rect id="文本框 2" o:spid="_x0000_s1026" o:spt="1" style="position:absolute;left:0pt;margin-left:25.5pt;margin-top:18.45pt;height:17pt;width:547.1pt;mso-position-horizontal-relative:page;z-index:-251643904;mso-width-relative:page;mso-height-relative:page;" filled="f" stroked="f" coordsize="21600,21600" o:gfxdata="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18vvf2gAAAAkBAAAPAAAAAAAAAAEAIAAA&#10;ACIAAABkcnMvZG93bnJldi54bWxQSwECFAAUAAAACACHTuJACSFwadEBAACTAwAADgAAAAAAAAAB&#10;ACAAAAApAQAAZHJzL2Uyb0RvYy54bWxQSwUGAAAAAAYABgBZAQAAbAUAAAAA&#10;">
              <v:fill on="f" focussize="0,0"/>
              <v:stroke on="f"/>
              <v:imagedata o:title=""/>
              <o:lock v:ext="edit" aspectratio="f"/>
              <v:textbox inset="0mm,0mm,0mm,0mm">
                <w:txbxContent>
                  <w:tbl>
                    <w:tblPr>
                      <w:tblStyle w:val="14"/>
                      <w:tblW w:w="109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gridCol w:w="5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466" w:type="dxa"/>
                          <w:vAlign w:val="center"/>
                        </w:tcPr>
                        <w:p>
                          <w:pPr>
                            <w:pStyle w:val="28"/>
                            <w:rPr>
                              <w:rFonts w:ascii="Arial" w:hAnsi="Arial"/>
                              <w:b/>
                              <w:sz w:val="16"/>
                            </w:rPr>
                          </w:pPr>
                          <w:r>
                            <w:rPr>
                              <w:rFonts w:ascii="Arial" w:hAnsi="Arial"/>
                              <w:b/>
                              <w:sz w:val="16"/>
                            </w:rPr>
                            <w:t>HTTP://WWW.QH168.COM.CN</w:t>
                          </w:r>
                        </w:p>
                      </w:tc>
                      <w:tc>
                        <w:tcPr>
                          <w:tcW w:w="5466" w:type="dxa"/>
                          <w:vAlign w:val="center"/>
                        </w:tcPr>
                        <w:p>
                          <w:pPr>
                            <w:pStyle w:val="28"/>
                            <w:ind w:right="160"/>
                            <w:jc w:val="right"/>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r>
                            <w:rPr>
                              <w:rFonts w:ascii="Arial" w:hAnsi="Arial"/>
                              <w:b/>
                              <w:bCs/>
                              <w:sz w:val="16"/>
                            </w:rPr>
                            <w:t xml:space="preserve">                                </w:t>
                          </w:r>
                          <w:r>
                            <w:rPr>
                              <w:rFonts w:hint="eastAsia" w:ascii="Arial" w:hAnsi="Arial"/>
                              <w:b/>
                              <w:sz w:val="16"/>
                            </w:rPr>
                            <w:t>请务必仔细阅读正文后免责申明</w:t>
                          </w:r>
                        </w:p>
                      </w:tc>
                    </w:tr>
                  </w:tbl>
                  <w:p>
                    <w:pPr>
                      <w:pStyle w:val="9"/>
                      <w:jc w:val="right"/>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r>
      <w:rPr>
        <w:sz w:val="20"/>
        <w:szCs w:val="20"/>
      </w:rPr>
      <w:drawing>
        <wp:anchor distT="0" distB="0" distL="0" distR="0" simplePos="0" relativeHeight="251661312" behindDoc="0" locked="0" layoutInCell="1" allowOverlap="1">
          <wp:simplePos x="0" y="0"/>
          <wp:positionH relativeFrom="margin">
            <wp:posOffset>5231765</wp:posOffset>
          </wp:positionH>
          <wp:positionV relativeFrom="paragraph">
            <wp:posOffset>-500380</wp:posOffset>
          </wp:positionV>
          <wp:extent cx="1219200" cy="342900"/>
          <wp:effectExtent l="0" t="0" r="0" b="0"/>
          <wp:wrapNone/>
          <wp:docPr id="4097" name="图片 2" descr="小龙彩"/>
          <wp:cNvGraphicFramePr/>
          <a:graphic xmlns:a="http://schemas.openxmlformats.org/drawingml/2006/main">
            <a:graphicData uri="http://schemas.openxmlformats.org/drawingml/2006/picture">
              <pic:pic xmlns:pic="http://schemas.openxmlformats.org/drawingml/2006/picture">
                <pic:nvPicPr>
                  <pic:cNvPr id="4097" name="图片 2" descr="小龙彩"/>
                  <pic:cNvPicPr/>
                </pic:nvPicPr>
                <pic:blipFill>
                  <a:blip r:embed="rId1" cstate="print"/>
                  <a:srcRect/>
                  <a:stretch>
                    <a:fillRect/>
                  </a:stretch>
                </pic:blipFill>
                <pic:spPr>
                  <a:xfrm>
                    <a:off x="0" y="0"/>
                    <a:ext cx="1219200" cy="342900"/>
                  </a:xfrm>
                  <a:prstGeom prst="rect">
                    <a:avLst/>
                  </a:prstGeom>
                  <a:ln>
                    <a:noFill/>
                  </a:ln>
                </pic:spPr>
              </pic:pic>
            </a:graphicData>
          </a:graphic>
        </wp:anchor>
      </w:drawing>
    </w:r>
    <w:r>
      <mc:AlternateContent>
        <mc:Choice Requires="wpg">
          <w:drawing>
            <wp:anchor distT="0" distB="0" distL="0" distR="0" simplePos="0" relativeHeight="251662336" behindDoc="0" locked="0" layoutInCell="1" allowOverlap="1">
              <wp:simplePos x="0" y="0"/>
              <wp:positionH relativeFrom="page">
                <wp:posOffset>226695</wp:posOffset>
              </wp:positionH>
              <wp:positionV relativeFrom="page">
                <wp:posOffset>396240</wp:posOffset>
              </wp:positionV>
              <wp:extent cx="7106285" cy="107950"/>
              <wp:effectExtent l="0" t="0" r="0" b="6350"/>
              <wp:wrapNone/>
              <wp:docPr id="4098" name="组合 12"/>
              <wp:cNvGraphicFramePr/>
              <a:graphic xmlns:a="http://schemas.openxmlformats.org/drawingml/2006/main">
                <a:graphicData uri="http://schemas.microsoft.com/office/word/2010/wordprocessingGroup">
                  <wpg:wgp>
                    <wpg:cNvGrpSpPr/>
                    <wpg:grpSpPr>
                      <a:xfrm>
                        <a:off x="0" y="0"/>
                        <a:ext cx="7106285" cy="107950"/>
                        <a:chOff x="0" y="0"/>
                        <a:chExt cx="7167403" cy="87630"/>
                      </a:xfrm>
                    </wpg:grpSpPr>
                    <wps:wsp>
                      <wps:cNvPr id="1" name="矩形 1"/>
                      <wps:cNvSpPr/>
                      <wps:spPr>
                        <a:xfrm>
                          <a:off x="0" y="25876"/>
                          <a:ext cx="3590925" cy="59690"/>
                        </a:xfrm>
                        <a:prstGeom prst="rect">
                          <a:avLst/>
                        </a:prstGeom>
                        <a:solidFill>
                          <a:srgbClr val="0D4081"/>
                        </a:solidFill>
                        <a:ln>
                          <a:noFill/>
                        </a:ln>
                        <a:effectLst>
                          <a:softEdge rad="12700"/>
                        </a:effectLst>
                      </wps:spPr>
                      <wps:bodyPr/>
                    </wps:wsp>
                    <wps:wsp>
                      <wps:cNvPr id="2" name="任意多边形 2"/>
                      <wps:cNvSpPr/>
                      <wps:spPr>
                        <a:xfrm rot="16200000">
                          <a:off x="5263832" y="-1815941"/>
                          <a:ext cx="87630" cy="3719512"/>
                        </a:xfrm>
                        <a:custGeom>
                          <a:avLst/>
                          <a:gdLst/>
                          <a:ahLst/>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bodyPr/>
                    </wps:wsp>
                  </wpg:wgp>
                </a:graphicData>
              </a:graphic>
            </wp:anchor>
          </w:drawing>
        </mc:Choice>
        <mc:Fallback>
          <w:pict>
            <v:group id="组合 12" o:spid="_x0000_s1026" o:spt="203" style="position:absolute;left:0pt;margin-left:17.85pt;margin-top:31.2pt;height:8.5pt;width:559.55pt;mso-position-horizontal-relative:page;mso-position-vertical-relative:page;z-index:251662336;mso-width-relative:page;mso-height-relative:page;" coordsize="7167403,87630" o:gfxdata="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HvTD1HaAAAACQEAAA8AAAAAAAAAAQAgAAAAIgAAAGRycy9kb3ducmV2LnhtbFBLAQIU&#10;ABQAAAAIAIdO4kBPzh8cDgMAAM0HAAAOAAAAAAAAAAEAIAAAACkBAABkcnMvZTJvRG9jLnhtbFBL&#10;BQYAAAAABgAGAFkBAACpBgAAAAA=&#10;">
              <o:lock v:ext="edit" aspectratio="f"/>
              <v:rect id="_x0000_s1026" o:spid="_x0000_s1026" o:spt="1" style="position:absolute;left:0;top:25876;height:59690;width:3590925;" fillcolor="#0D4081" filled="t" stroked="f" coordsize="21600,21600" o:gfxdata="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Qh/ErgAAADaAAAA&#10;DwAAAAAAAAABACAAAAAiAAAAZHJzL2Rvd25yZXYueG1sUEsBAhQAFAAAAAgAh07iQDMvBZ47AAAA&#10;OQAAABAAAAAAAAAAAQAgAAAABwEAAGRycy9zaGFwZXhtbC54bWxQSwUGAAAAAAYABgBbAQAAsQMA&#10;AAAA&#10;">
                <v:fill on="t" focussize="0,0"/>
                <v:stroke on="f"/>
                <v:imagedata o:title=""/>
                <o:lock v:ext="edit" aspectratio="f"/>
              </v:rect>
              <v:shape id="_x0000_s1026" o:spid="_x0000_s1026" o:spt="100" style="position:absolute;left:5263832;top:-1815941;height:3719512;width:87630;rotation:-5898240f;" fillcolor="#AE0C21" filled="t" stroked="f" coordsize="10000,10000" o:gfxdata="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0Imb4A&#10;AADaAAAADwAAAAAAAAABACAAAAAiAAAAZHJzL2Rvd25yZXYueG1sUEsBAhQAFAAAAAgAh07iQDMv&#10;BZ47AAAAOQAAABAAAAAAAAAAAQAgAAAADQEAAGRycy9zaGFwZXhtbC54bWxQSwUGAAAAAAYABgBb&#10;AQAAtwMAAAAA&#10;" path="m0,0l10000,366,10000,10000,0,10000,0,0xe">
                <v:fill on="t" focussize="0,0"/>
                <v:stroke on="f"/>
                <v:imagedata o:title=""/>
                <o:lock v:ext="edit" aspectratio="f"/>
              </v:shape>
            </v:group>
          </w:pict>
        </mc:Fallback>
      </mc:AlternateContent>
    </w:r>
    <w:r>
      <mc:AlternateContent>
        <mc:Choice Requires="wps">
          <w:drawing>
            <wp:anchor distT="45720" distB="45720" distL="114300" distR="114300" simplePos="0" relativeHeight="251663360" behindDoc="0" locked="0" layoutInCell="1" allowOverlap="1">
              <wp:simplePos x="0" y="0"/>
              <wp:positionH relativeFrom="page">
                <wp:posOffset>431800</wp:posOffset>
              </wp:positionH>
              <wp:positionV relativeFrom="page">
                <wp:posOffset>144145</wp:posOffset>
              </wp:positionV>
              <wp:extent cx="2360930" cy="323850"/>
              <wp:effectExtent l="0" t="0" r="0" b="0"/>
              <wp:wrapSquare wrapText="bothSides"/>
              <wp:docPr id="4101" name="文本框 2"/>
              <wp:cNvGraphicFramePr/>
              <a:graphic xmlns:a="http://schemas.openxmlformats.org/drawingml/2006/main">
                <a:graphicData uri="http://schemas.microsoft.com/office/word/2010/wordprocessingShape">
                  <wps:wsp>
                    <wps:cNvSpPr/>
                    <wps:spPr>
                      <a:xfrm>
                        <a:off x="0" y="0"/>
                        <a:ext cx="2360930" cy="323849"/>
                      </a:xfrm>
                      <a:prstGeom prst="rect">
                        <a:avLst/>
                      </a:prstGeom>
                      <a:ln>
                        <a:noFill/>
                      </a:ln>
                    </wps:spPr>
                    <wps:txbx>
                      <w:txbxContent>
                        <w:p>
                          <w:pPr>
                            <w:rPr>
                              <w:rFonts w:ascii="思源黑体" w:hAnsi="Arial" w:eastAsia="思源黑体"/>
                              <w:b/>
                              <w:color w:val="D70C25"/>
                              <w:sz w:val="22"/>
                            </w:rPr>
                          </w:pPr>
                          <w:r>
                            <w:rPr>
                              <w:rFonts w:hint="eastAsia" w:ascii="思源黑体" w:hAnsi="Arial" w:eastAsia="思源黑体"/>
                              <w:b/>
                              <w:color w:val="D70C25"/>
                              <w:sz w:val="22"/>
                            </w:rPr>
                            <w:t>研究所晨会观点精粹</w:t>
                          </w:r>
                        </w:p>
                      </w:txbxContent>
                    </wps:txbx>
                    <wps:bodyPr vert="horz" wrap="square" lIns="91440" tIns="45720" rIns="91440" bIns="45720" anchor="t">
                      <a:noAutofit/>
                    </wps:bodyPr>
                  </wps:wsp>
                </a:graphicData>
              </a:graphic>
              <wp14:sizeRelH relativeFrom="margin">
                <wp14:pctWidth>40000</wp14:pctWidth>
              </wp14:sizeRelH>
              <wp14:sizeRelV relativeFrom="page">
                <wp14:pctHeight>0</wp14:pctHeight>
              </wp14:sizeRelV>
            </wp:anchor>
          </w:drawing>
        </mc:Choice>
        <mc:Fallback>
          <w:pict>
            <v:rect id="文本框 2" o:spid="_x0000_s1026" o:spt="1" style="position:absolute;left:0pt;margin-left:34pt;margin-top:11.35pt;height:25.5pt;width:185.9pt;mso-position-horizontal-relative:page;mso-position-vertical-relative:page;mso-wrap-distance-bottom:3.6pt;mso-wrap-distance-left:9pt;mso-wrap-distance-right:9pt;mso-wrap-distance-top:3.6pt;z-index:251663360;mso-width-relative:margin;mso-height-relative:page;mso-width-percent:400;" filled="f" stroked="f" coordsize="21600,21600" o:gfxdata="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Xpkge1wAAAAgBAAAPAAAAAAAA&#10;AAEAIAAAACIAAABkcnMvZG93bnJldi54bWxQSwECFAAUAAAACACHTuJAQj+6LdoBAACjAwAADgAA&#10;AAAAAAABACAAAAAmAQAAZHJzL2Uyb0RvYy54bWxQSwUGAAAAAAYABgBZAQAAcgUAAAAA&#10;">
              <v:fill on="f" focussize="0,0"/>
              <v:stroke on="f"/>
              <v:imagedata o:title=""/>
              <o:lock v:ext="edit" aspectratio="f"/>
              <v:textbox>
                <w:txbxContent>
                  <w:p>
                    <w:pPr>
                      <w:rPr>
                        <w:rFonts w:ascii="思源黑体" w:hAnsi="Arial" w:eastAsia="思源黑体"/>
                        <w:b/>
                        <w:color w:val="D70C25"/>
                        <w:sz w:val="22"/>
                      </w:rPr>
                    </w:pPr>
                    <w:r>
                      <w:rPr>
                        <w:rFonts w:hint="eastAsia" w:ascii="思源黑体" w:hAnsi="Arial" w:eastAsia="思源黑体"/>
                        <w:b/>
                        <w:color w:val="D70C25"/>
                        <w:sz w:val="22"/>
                      </w:rPr>
                      <w:t>研究所晨会观点精粹</w:t>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r>
      <mc:AlternateContent>
        <mc:Choice Requires="wps">
          <w:drawing>
            <wp:anchor distT="0" distB="0" distL="0" distR="0" simplePos="0" relativeHeight="251666432" behindDoc="1" locked="0" layoutInCell="1" allowOverlap="1">
              <wp:simplePos x="0" y="0"/>
              <wp:positionH relativeFrom="page">
                <wp:posOffset>191135</wp:posOffset>
              </wp:positionH>
              <wp:positionV relativeFrom="page">
                <wp:posOffset>3046095</wp:posOffset>
              </wp:positionV>
              <wp:extent cx="464185" cy="6901180"/>
              <wp:effectExtent l="0" t="0" r="12065" b="13970"/>
              <wp:wrapNone/>
              <wp:docPr id="4104" name="文本框 2"/>
              <wp:cNvGraphicFramePr/>
              <a:graphic xmlns:a="http://schemas.openxmlformats.org/drawingml/2006/main">
                <a:graphicData uri="http://schemas.microsoft.com/office/word/2010/wordprocessingShape">
                  <wps:wsp>
                    <wps:cNvSpPr/>
                    <wps:spPr>
                      <a:xfrm>
                        <a:off x="0" y="0"/>
                        <a:ext cx="464184" cy="6901180"/>
                      </a:xfrm>
                      <a:prstGeom prst="rect">
                        <a:avLst/>
                      </a:prstGeom>
                      <a:solidFill>
                        <a:srgbClr val="C9C9CA"/>
                      </a:solidFill>
                      <a:ln>
                        <a:noFill/>
                      </a:ln>
                    </wps:spPr>
                    <wps:txbx>
                      <w:txbxContent>
                        <w:p>
                          <w:pPr>
                            <w:pStyle w:val="28"/>
                            <w:spacing w:line="400" w:lineRule="exact"/>
                            <w:rPr>
                              <w:rFonts w:ascii="思源黑体" w:hAnsi="Arial" w:eastAsia="思源黑体"/>
                              <w:b/>
                              <w:color w:val="FFFFFF"/>
                              <w:sz w:val="28"/>
                            </w:rPr>
                          </w:pPr>
                        </w:p>
                      </w:txbxContent>
                    </wps:txbx>
                    <wps:bodyPr vert="eaVert" wrap="square" lIns="91440" tIns="45720" rIns="91440" bIns="45720" anchor="t">
                      <a:noAutofit/>
                    </wps:bodyPr>
                  </wps:wsp>
                </a:graphicData>
              </a:graphic>
            </wp:anchor>
          </w:drawing>
        </mc:Choice>
        <mc:Fallback>
          <w:pict>
            <v:rect id="文本框 2" o:spid="_x0000_s1026" o:spt="1" style="position:absolute;left:0pt;margin-left:15.05pt;margin-top:239.85pt;height:543.4pt;width:36.55pt;mso-position-horizontal-relative:page;mso-position-vertical-relative:page;z-index:-251650048;mso-width-relative:page;mso-height-relative:page;" fillcolor="#C9C9CA" filled="t" stroked="f" coordsize="21600,21600" o:gfxdata="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llqi3ZAAAACwEAAA8AAAAAAAAAAQAgAAAAIgAAAGRycy9kb3ducmV2LnhtbFBL&#10;AQIUABQAAAAIAIdO4kBVReKI9QEAANkDAAAOAAAAAAAAAAEAIAAAACgBAABkcnMvZTJvRG9jLnht&#10;bFBLBQYAAAAABgAGAFkBAACPBQAAAAA=&#10;">
              <v:fill on="t" focussize="0,0"/>
              <v:stroke on="f"/>
              <v:imagedata o:title=""/>
              <o:lock v:ext="edit" aspectratio="f"/>
              <v:textbox style="layout-flow:vertical-ideographic;">
                <w:txbxContent>
                  <w:p>
                    <w:pPr>
                      <w:pStyle w:val="28"/>
                      <w:spacing w:line="400" w:lineRule="exact"/>
                      <w:rPr>
                        <w:rFonts w:ascii="思源黑体" w:hAnsi="Arial" w:eastAsia="思源黑体"/>
                        <w:b/>
                        <w:color w:val="FFFFFF"/>
                        <w:sz w:val="28"/>
                      </w:rPr>
                    </w:pPr>
                  </w:p>
                </w:txbxContent>
              </v:textbox>
            </v:rect>
          </w:pict>
        </mc:Fallback>
      </mc:AlternateContent>
    </w:r>
    <w:r>
      <mc:AlternateContent>
        <mc:Choice Requires="wps">
          <w:drawing>
            <wp:anchor distT="0" distB="0" distL="0" distR="0" simplePos="0" relativeHeight="251667456" behindDoc="1" locked="0" layoutInCell="1" allowOverlap="1">
              <wp:simplePos x="0" y="0"/>
              <wp:positionH relativeFrom="page">
                <wp:posOffset>191135</wp:posOffset>
              </wp:positionH>
              <wp:positionV relativeFrom="page">
                <wp:posOffset>95250</wp:posOffset>
              </wp:positionV>
              <wp:extent cx="464185" cy="919480"/>
              <wp:effectExtent l="0" t="0" r="0" b="0"/>
              <wp:wrapNone/>
              <wp:docPr id="4105" name="文本框 2"/>
              <wp:cNvGraphicFramePr/>
              <a:graphic xmlns:a="http://schemas.openxmlformats.org/drawingml/2006/main">
                <a:graphicData uri="http://schemas.microsoft.com/office/word/2010/wordprocessingShape">
                  <wps:wsp>
                    <wps:cNvSpPr/>
                    <wps:spPr>
                      <a:xfrm>
                        <a:off x="0" y="0"/>
                        <a:ext cx="464184" cy="919479"/>
                      </a:xfrm>
                      <a:prstGeom prst="rect">
                        <a:avLst/>
                      </a:prstGeom>
                      <a:solidFill>
                        <a:srgbClr val="AE0C21"/>
                      </a:solidFill>
                      <a:ln>
                        <a:noFill/>
                      </a:ln>
                    </wps:spPr>
                    <wps:txbx>
                      <w:txbxContent>
                        <w:p>
                          <w:pPr>
                            <w:pStyle w:val="28"/>
                            <w:spacing w:line="400" w:lineRule="exact"/>
                            <w:jc w:val="center"/>
                            <w:rPr>
                              <w:rFonts w:ascii="思源黑体" w:hAnsi="微软雅黑" w:eastAsia="思源黑体"/>
                              <w:b/>
                              <w:color w:val="FFFFFF"/>
                              <w:sz w:val="28"/>
                            </w:rPr>
                          </w:pPr>
                          <w:r>
                            <w:rPr>
                              <w:rFonts w:hint="eastAsia" w:ascii="思源黑体" w:hAnsi="微软雅黑" w:eastAsia="思源黑体"/>
                              <w:b/>
                              <w:color w:val="FFFFFF"/>
                              <w:sz w:val="28"/>
                            </w:rPr>
                            <w:fldChar w:fldCharType="begin"/>
                          </w:r>
                          <w:r>
                            <w:rPr>
                              <w:rFonts w:hint="eastAsia" w:ascii="思源黑体" w:hAnsi="微软雅黑" w:eastAsia="思源黑体"/>
                              <w:b/>
                              <w:color w:val="FFFFFF"/>
                              <w:sz w:val="28"/>
                            </w:rPr>
                            <w:instrText xml:space="preserve"> DOCPROPERTY  columnname </w:instrText>
                          </w:r>
                          <w:r>
                            <w:rPr>
                              <w:rFonts w:hint="eastAsia" w:ascii="思源黑体" w:hAnsi="微软雅黑" w:eastAsia="思源黑体"/>
                              <w:b/>
                              <w:color w:val="FFFFFF"/>
                              <w:sz w:val="28"/>
                            </w:rPr>
                            <w:fldChar w:fldCharType="separate"/>
                          </w:r>
                          <w:r>
                            <w:rPr>
                              <w:rFonts w:hint="eastAsia" w:ascii="思源黑体" w:hAnsi="微软雅黑" w:eastAsia="思源黑体"/>
                              <w:b/>
                              <w:color w:val="FFFFFF"/>
                              <w:sz w:val="28"/>
                            </w:rPr>
                            <w:t>东海研究</w:t>
                          </w:r>
                          <w:r>
                            <w:rPr>
                              <w:rFonts w:hint="eastAsia" w:ascii="思源黑体" w:hAnsi="微软雅黑" w:eastAsia="思源黑体"/>
                              <w:b/>
                              <w:color w:val="FFFFFF"/>
                              <w:sz w:val="28"/>
                            </w:rPr>
                            <w:fldChar w:fldCharType="end"/>
                          </w:r>
                        </w:p>
                      </w:txbxContent>
                    </wps:txbx>
                    <wps:bodyPr vert="eaVert" wrap="square" lIns="91440" tIns="45720" rIns="91440" bIns="45720" anchor="t">
                      <a:noAutofit/>
                    </wps:bodyPr>
                  </wps:wsp>
                </a:graphicData>
              </a:graphic>
            </wp:anchor>
          </w:drawing>
        </mc:Choice>
        <mc:Fallback>
          <w:pict>
            <v:rect id="文本框 2" o:spid="_x0000_s1026" o:spt="1" style="position:absolute;left:0pt;margin-left:15.05pt;margin-top:7.5pt;height:72.4pt;width:36.55pt;mso-position-horizontal-relative:page;mso-position-vertical-relative:page;z-index:-251649024;mso-width-relative:page;mso-height-relative:page;" fillcolor="#AE0C21" filled="t" stroked="f" coordsize="21600,21600" o:gfxdata="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BnB+dcAAAAJAQAADwAAAAAAAAABACAAAAAiAAAAZHJzL2Rvd25yZXYueG1sUEsBAhQA&#10;FAAAAAgAh07iQEvs9ebzAQAA2AMAAA4AAAAAAAAAAQAgAAAAJgEAAGRycy9lMm9Eb2MueG1sUEsF&#10;BgAAAAAGAAYAWQEAAIsFAAAAAA==&#10;">
              <v:fill on="t" focussize="0,0"/>
              <v:stroke on="f"/>
              <v:imagedata o:title=""/>
              <o:lock v:ext="edit" aspectratio="f"/>
              <v:textbox style="layout-flow:vertical-ideographic;">
                <w:txbxContent>
                  <w:p>
                    <w:pPr>
                      <w:pStyle w:val="28"/>
                      <w:spacing w:line="400" w:lineRule="exact"/>
                      <w:jc w:val="center"/>
                      <w:rPr>
                        <w:rFonts w:ascii="思源黑体" w:hAnsi="微软雅黑" w:eastAsia="思源黑体"/>
                        <w:b/>
                        <w:color w:val="FFFFFF"/>
                        <w:sz w:val="28"/>
                      </w:rPr>
                    </w:pPr>
                    <w:r>
                      <w:rPr>
                        <w:rFonts w:hint="eastAsia" w:ascii="思源黑体" w:hAnsi="微软雅黑" w:eastAsia="思源黑体"/>
                        <w:b/>
                        <w:color w:val="FFFFFF"/>
                        <w:sz w:val="28"/>
                      </w:rPr>
                      <w:fldChar w:fldCharType="begin"/>
                    </w:r>
                    <w:r>
                      <w:rPr>
                        <w:rFonts w:hint="eastAsia" w:ascii="思源黑体" w:hAnsi="微软雅黑" w:eastAsia="思源黑体"/>
                        <w:b/>
                        <w:color w:val="FFFFFF"/>
                        <w:sz w:val="28"/>
                      </w:rPr>
                      <w:instrText xml:space="preserve"> DOCPROPERTY  columnname </w:instrText>
                    </w:r>
                    <w:r>
                      <w:rPr>
                        <w:rFonts w:hint="eastAsia" w:ascii="思源黑体" w:hAnsi="微软雅黑" w:eastAsia="思源黑体"/>
                        <w:b/>
                        <w:color w:val="FFFFFF"/>
                        <w:sz w:val="28"/>
                      </w:rPr>
                      <w:fldChar w:fldCharType="separate"/>
                    </w:r>
                    <w:r>
                      <w:rPr>
                        <w:rFonts w:hint="eastAsia" w:ascii="思源黑体" w:hAnsi="微软雅黑" w:eastAsia="思源黑体"/>
                        <w:b/>
                        <w:color w:val="FFFFFF"/>
                        <w:sz w:val="28"/>
                      </w:rPr>
                      <w:t>东海研究</w:t>
                    </w:r>
                    <w:r>
                      <w:rPr>
                        <w:rFonts w:hint="eastAsia" w:ascii="思源黑体" w:hAnsi="微软雅黑" w:eastAsia="思源黑体"/>
                        <w:b/>
                        <w:color w:val="FFFFFF"/>
                        <w:sz w:val="28"/>
                      </w:rPr>
                      <w:fldChar w:fldCharType="end"/>
                    </w:r>
                  </w:p>
                </w:txbxContent>
              </v:textbox>
            </v:rect>
          </w:pict>
        </mc:Fallback>
      </mc:AlternateContent>
    </w:r>
    <w:r>
      <w:rPr>
        <w:sz w:val="20"/>
        <w:szCs w:val="20"/>
      </w:rPr>
      <w:drawing>
        <wp:anchor distT="0" distB="0" distL="0" distR="0" simplePos="0" relativeHeight="251668480" behindDoc="0" locked="0" layoutInCell="1" allowOverlap="1">
          <wp:simplePos x="0" y="0"/>
          <wp:positionH relativeFrom="margin">
            <wp:align>right</wp:align>
          </wp:positionH>
          <wp:positionV relativeFrom="paragraph">
            <wp:posOffset>-235585</wp:posOffset>
          </wp:positionV>
          <wp:extent cx="2057400" cy="578485"/>
          <wp:effectExtent l="0" t="0" r="0" b="0"/>
          <wp:wrapNone/>
          <wp:docPr id="4106" name="图片 2" descr="小龙彩"/>
          <wp:cNvGraphicFramePr/>
          <a:graphic xmlns:a="http://schemas.openxmlformats.org/drawingml/2006/main">
            <a:graphicData uri="http://schemas.openxmlformats.org/drawingml/2006/picture">
              <pic:pic xmlns:pic="http://schemas.openxmlformats.org/drawingml/2006/picture">
                <pic:nvPicPr>
                  <pic:cNvPr id="4106" name="图片 2" descr="小龙彩"/>
                  <pic:cNvPicPr/>
                </pic:nvPicPr>
                <pic:blipFill>
                  <a:blip r:embed="rId1" cstate="print"/>
                  <a:srcRect/>
                  <a:stretch>
                    <a:fillRect/>
                  </a:stretch>
                </pic:blipFill>
                <pic:spPr>
                  <a:xfrm>
                    <a:off x="0" y="0"/>
                    <a:ext cx="2057400" cy="578485"/>
                  </a:xfrm>
                  <a:prstGeom prst="rect">
                    <a:avLst/>
                  </a:prstGeom>
                  <a:ln>
                    <a:noFill/>
                  </a:ln>
                </pic:spPr>
              </pic:pic>
            </a:graphicData>
          </a:graphic>
        </wp:anchor>
      </w:drawing>
    </w:r>
    <w:r>
      <mc:AlternateContent>
        <mc:Choice Requires="wpg">
          <w:drawing>
            <wp:anchor distT="0" distB="0" distL="0" distR="0" simplePos="0" relativeHeight="251669504" behindDoc="0" locked="0" layoutInCell="1" allowOverlap="1">
              <wp:simplePos x="0" y="0"/>
              <wp:positionH relativeFrom="margin">
                <wp:posOffset>-608330</wp:posOffset>
              </wp:positionH>
              <wp:positionV relativeFrom="paragraph">
                <wp:posOffset>493395</wp:posOffset>
              </wp:positionV>
              <wp:extent cx="7106285" cy="107950"/>
              <wp:effectExtent l="0" t="0" r="0" b="6350"/>
              <wp:wrapNone/>
              <wp:docPr id="4107" name="组合 25"/>
              <wp:cNvGraphicFramePr/>
              <a:graphic xmlns:a="http://schemas.openxmlformats.org/drawingml/2006/main">
                <a:graphicData uri="http://schemas.microsoft.com/office/word/2010/wordprocessingGroup">
                  <wpg:wgp>
                    <wpg:cNvGrpSpPr/>
                    <wpg:grpSpPr>
                      <a:xfrm>
                        <a:off x="0" y="0"/>
                        <a:ext cx="7106285" cy="107950"/>
                        <a:chOff x="0" y="0"/>
                        <a:chExt cx="7167403" cy="87630"/>
                      </a:xfrm>
                    </wpg:grpSpPr>
                    <wps:wsp>
                      <wps:cNvPr id="3" name="矩形 3"/>
                      <wps:cNvSpPr/>
                      <wps:spPr>
                        <a:xfrm>
                          <a:off x="0" y="25876"/>
                          <a:ext cx="3590925" cy="59690"/>
                        </a:xfrm>
                        <a:prstGeom prst="rect">
                          <a:avLst/>
                        </a:prstGeom>
                        <a:solidFill>
                          <a:srgbClr val="0D4081"/>
                        </a:solidFill>
                        <a:ln>
                          <a:noFill/>
                        </a:ln>
                        <a:effectLst>
                          <a:softEdge rad="12700"/>
                        </a:effectLst>
                      </wps:spPr>
                      <wps:bodyPr/>
                    </wps:wsp>
                    <wps:wsp>
                      <wps:cNvPr id="4" name="任意多边形 4"/>
                      <wps:cNvSpPr/>
                      <wps:spPr>
                        <a:xfrm rot="16200000">
                          <a:off x="5263832" y="-1815941"/>
                          <a:ext cx="87630" cy="3719512"/>
                        </a:xfrm>
                        <a:custGeom>
                          <a:avLst/>
                          <a:gdLst/>
                          <a:ahLst/>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bodyPr/>
                    </wps:wsp>
                  </wpg:wgp>
                </a:graphicData>
              </a:graphic>
            </wp:anchor>
          </w:drawing>
        </mc:Choice>
        <mc:Fallback>
          <w:pict>
            <v:group id="组合 25" o:spid="_x0000_s1026" o:spt="203" style="position:absolute;left:0pt;margin-left:-47.9pt;margin-top:38.85pt;height:8.5pt;width:559.55pt;mso-position-horizontal-relative:margin;z-index:251669504;mso-width-relative:page;mso-height-relative:page;" coordsize="7167403,87630" o:gfxdata="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zBzLTdsAAAAKAQAADwAAAAAAAAABACAAAAAiAAAAZHJzL2Rvd25yZXYueG1sUEsB&#10;AhQAFAAAAAgAh07iQG9OaQwPAwAAzQcAAA4AAAAAAAAAAQAgAAAAKgEAAGRycy9lMm9Eb2MueG1s&#10;UEsFBgAAAAAGAAYAWQEAAKsGAAAAAA==&#10;">
              <o:lock v:ext="edit" aspectratio="f"/>
              <v:rect id="_x0000_s1026" o:spid="_x0000_s1026" o:spt="1" style="position:absolute;left:0;top:25876;height:59690;width:3590925;" fillcolor="#0D4081" filled="t" stroked="f" coordsize="21600,21600" o:gfxdata="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ZE/rsAAADa&#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5263832;top:-1815941;height:3719512;width:87630;rotation:-5898240f;" fillcolor="#AE0C21" filled="t" stroked="f" coordsize="10000,10000" o:gfxdata="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DV2vQAA&#10;ANoAAAAPAAAAAAAAAAEAIAAAACIAAABkcnMvZG93bnJldi54bWxQSwECFAAUAAAACACHTuJAMy8F&#10;njsAAAA5AAAAEAAAAAAAAAABACAAAAAMAQAAZHJzL3NoYXBleG1sLnhtbFBLBQYAAAAABgAGAFsB&#10;AAC2AwAAAAA=&#10;" path="m0,0l10000,366,10000,10000,0,10000,0,0xe">
                <v:fill on="t" focussize="0,0"/>
                <v:stroke on="f"/>
                <v:imagedata o:title=""/>
                <o:lock v:ext="edit" aspectratio="f"/>
              </v:shape>
            </v:group>
          </w:pict>
        </mc:Fallback>
      </mc:AlternateContent>
    </w:r>
    <w:r>
      <mc:AlternateContent>
        <mc:Choice Requires="wps">
          <w:drawing>
            <wp:anchor distT="0" distB="0" distL="0" distR="0" simplePos="0" relativeHeight="251670528" behindDoc="1" locked="0" layoutInCell="1" allowOverlap="1">
              <wp:simplePos x="0" y="0"/>
              <wp:positionH relativeFrom="page">
                <wp:posOffset>191135</wp:posOffset>
              </wp:positionH>
              <wp:positionV relativeFrom="page">
                <wp:posOffset>1231265</wp:posOffset>
              </wp:positionV>
              <wp:extent cx="464185" cy="1805940"/>
              <wp:effectExtent l="0" t="0" r="12065" b="3810"/>
              <wp:wrapNone/>
              <wp:docPr id="4110" name="文本框 2"/>
              <wp:cNvGraphicFramePr/>
              <a:graphic xmlns:a="http://schemas.openxmlformats.org/drawingml/2006/main">
                <a:graphicData uri="http://schemas.microsoft.com/office/word/2010/wordprocessingShape">
                  <wps:wsp>
                    <wps:cNvSpPr/>
                    <wps:spPr>
                      <a:xfrm>
                        <a:off x="0" y="0"/>
                        <a:ext cx="464184" cy="1805939"/>
                      </a:xfrm>
                      <a:prstGeom prst="rect">
                        <a:avLst/>
                      </a:prstGeom>
                      <a:solidFill>
                        <a:srgbClr val="0D4081"/>
                      </a:solidFill>
                      <a:ln>
                        <a:noFill/>
                      </a:ln>
                    </wps:spPr>
                    <wps:txbx>
                      <w:txbxContent>
                        <w:p>
                          <w:pPr>
                            <w:rPr>
                              <w:rFonts w:ascii="思源黑体" w:hAnsi="微软雅黑" w:eastAsia="思源黑体"/>
                              <w:b/>
                              <w:color w:val="FFFFFF"/>
                              <w:sz w:val="28"/>
                            </w:rPr>
                          </w:pPr>
                          <w:r>
                            <w:rPr>
                              <w:rFonts w:hint="eastAsia" w:ascii="思源黑体" w:hAnsi="微软雅黑" w:eastAsia="思源黑体"/>
                              <w:b/>
                              <w:color w:val="FFFFFF"/>
                              <w:sz w:val="28"/>
                            </w:rPr>
                            <w:t>研究所晨会观点精萃</w:t>
                          </w:r>
                        </w:p>
                      </w:txbxContent>
                    </wps:txbx>
                    <wps:bodyPr vert="eaVert" wrap="square" lIns="91440" tIns="45720" rIns="91440" bIns="45720" anchor="t">
                      <a:noAutofit/>
                    </wps:bodyPr>
                  </wps:wsp>
                </a:graphicData>
              </a:graphic>
            </wp:anchor>
          </w:drawing>
        </mc:Choice>
        <mc:Fallback>
          <w:pict>
            <v:rect id="文本框 2" o:spid="_x0000_s1026" o:spt="1" style="position:absolute;left:0pt;margin-left:15.05pt;margin-top:96.95pt;height:142.2pt;width:36.55pt;mso-position-horizontal-relative:page;mso-position-vertical-relative:page;z-index:-251645952;mso-width-relative:page;mso-height-relative:page;" fillcolor="#0D4081" filled="t" stroked="f" coordsize="21600,21600" o:gfxdata="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K1MV2QAAAAoBAAAPAAAAAAAAAAEAIAAAACIAAABkcnMvZG93bnJldi54bWxQSwEC&#10;FAAUAAAACACHTuJA2EGuy/MBAADZAwAADgAAAAAAAAABACAAAAAoAQAAZHJzL2Uyb0RvYy54bWxQ&#10;SwUGAAAAAAYABgBZAQAAjQUAAAAA&#10;">
              <v:fill on="t" focussize="0,0"/>
              <v:stroke on="f"/>
              <v:imagedata o:title=""/>
              <o:lock v:ext="edit" aspectratio="f"/>
              <v:textbox style="layout-flow:vertical-ideographic;">
                <w:txbxContent>
                  <w:p>
                    <w:pPr>
                      <w:rPr>
                        <w:rFonts w:ascii="思源黑体" w:hAnsi="微软雅黑" w:eastAsia="思源黑体"/>
                        <w:b/>
                        <w:color w:val="FFFFFF"/>
                        <w:sz w:val="28"/>
                      </w:rPr>
                    </w:pPr>
                    <w:r>
                      <w:rPr>
                        <w:rFonts w:hint="eastAsia" w:ascii="思源黑体" w:hAnsi="微软雅黑" w:eastAsia="思源黑体"/>
                        <w:b/>
                        <w:color w:val="FFFFFF"/>
                        <w:sz w:val="28"/>
                      </w:rPr>
                      <w:t>研究所晨会观点精萃</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r>
      <w:rPr>
        <w:sz w:val="20"/>
        <w:szCs w:val="20"/>
      </w:rPr>
      <w:drawing>
        <wp:anchor distT="0" distB="0" distL="0" distR="0" simplePos="0" relativeHeight="251674624" behindDoc="0" locked="0" layoutInCell="1" allowOverlap="1">
          <wp:simplePos x="0" y="0"/>
          <wp:positionH relativeFrom="margin">
            <wp:posOffset>5819140</wp:posOffset>
          </wp:positionH>
          <wp:positionV relativeFrom="paragraph">
            <wp:posOffset>-168275</wp:posOffset>
          </wp:positionV>
          <wp:extent cx="1219200" cy="342900"/>
          <wp:effectExtent l="0" t="0" r="0" b="0"/>
          <wp:wrapNone/>
          <wp:docPr id="4116" name="图片 2" descr="小龙彩"/>
          <wp:cNvGraphicFramePr/>
          <a:graphic xmlns:a="http://schemas.openxmlformats.org/drawingml/2006/main">
            <a:graphicData uri="http://schemas.openxmlformats.org/drawingml/2006/picture">
              <pic:pic xmlns:pic="http://schemas.openxmlformats.org/drawingml/2006/picture">
                <pic:nvPicPr>
                  <pic:cNvPr id="4116" name="图片 2" descr="小龙彩"/>
                  <pic:cNvPicPr/>
                </pic:nvPicPr>
                <pic:blipFill>
                  <a:blip r:embed="rId1" cstate="print"/>
                  <a:srcRect/>
                  <a:stretch>
                    <a:fillRect/>
                  </a:stretch>
                </pic:blipFill>
                <pic:spPr>
                  <a:xfrm>
                    <a:off x="0" y="0"/>
                    <a:ext cx="1219200" cy="342900"/>
                  </a:xfrm>
                  <a:prstGeom prst="rect">
                    <a:avLst/>
                  </a:prstGeom>
                  <a:ln>
                    <a:noFill/>
                  </a:ln>
                </pic:spPr>
              </pic:pic>
            </a:graphicData>
          </a:graphic>
        </wp:anchor>
      </w:drawing>
    </w:r>
    <w:r>
      <mc:AlternateContent>
        <mc:Choice Requires="wpg">
          <w:drawing>
            <wp:anchor distT="0" distB="0" distL="0" distR="0" simplePos="0" relativeHeight="251673600" behindDoc="0" locked="0" layoutInCell="1" allowOverlap="1">
              <wp:simplePos x="0" y="0"/>
              <wp:positionH relativeFrom="page">
                <wp:posOffset>360045</wp:posOffset>
              </wp:positionH>
              <wp:positionV relativeFrom="page">
                <wp:posOffset>720090</wp:posOffset>
              </wp:positionV>
              <wp:extent cx="7106285" cy="107950"/>
              <wp:effectExtent l="0" t="0" r="0" b="6350"/>
              <wp:wrapNone/>
              <wp:docPr id="4113" name="组合 15"/>
              <wp:cNvGraphicFramePr/>
              <a:graphic xmlns:a="http://schemas.openxmlformats.org/drawingml/2006/main">
                <a:graphicData uri="http://schemas.microsoft.com/office/word/2010/wordprocessingGroup">
                  <wpg:wgp>
                    <wpg:cNvGrpSpPr/>
                    <wpg:grpSpPr>
                      <a:xfrm>
                        <a:off x="0" y="0"/>
                        <a:ext cx="7106285" cy="107949"/>
                        <a:chOff x="0" y="0"/>
                        <a:chExt cx="7167403" cy="87630"/>
                      </a:xfrm>
                    </wpg:grpSpPr>
                    <wps:wsp>
                      <wps:cNvPr id="5" name="矩形 5"/>
                      <wps:cNvSpPr/>
                      <wps:spPr>
                        <a:xfrm>
                          <a:off x="0" y="25876"/>
                          <a:ext cx="3590925" cy="59690"/>
                        </a:xfrm>
                        <a:prstGeom prst="rect">
                          <a:avLst/>
                        </a:prstGeom>
                        <a:solidFill>
                          <a:srgbClr val="0D4081"/>
                        </a:solidFill>
                        <a:ln>
                          <a:noFill/>
                        </a:ln>
                        <a:effectLst>
                          <a:softEdge rad="12700"/>
                        </a:effectLst>
                      </wps:spPr>
                      <wps:bodyPr/>
                    </wps:wsp>
                    <wps:wsp>
                      <wps:cNvPr id="6" name="任意多边形 6"/>
                      <wps:cNvSpPr/>
                      <wps:spPr>
                        <a:xfrm rot="16200000">
                          <a:off x="5263832" y="-1815941"/>
                          <a:ext cx="87630" cy="3719512"/>
                        </a:xfrm>
                        <a:custGeom>
                          <a:avLst/>
                          <a:gdLst/>
                          <a:ahLst/>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bodyPr/>
                    </wps:wsp>
                  </wpg:wgp>
                </a:graphicData>
              </a:graphic>
            </wp:anchor>
          </w:drawing>
        </mc:Choice>
        <mc:Fallback>
          <w:pict>
            <v:group id="组合 15" o:spid="_x0000_s1026" o:spt="203" style="position:absolute;left:0pt;margin-left:28.35pt;margin-top:56.7pt;height:8.5pt;width:559.55pt;mso-position-horizontal-relative:page;mso-position-vertical-relative:page;z-index:251673600;mso-width-relative:page;mso-height-relative:page;" coordsize="7167403,87630" o:gfxdata="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CmmRmnaAAAACwEAAA8AAAAAAAAAAQAgAAAAIgAAAGRycy9kb3ducmV2Lnht&#10;bFBLAQIUABQAAAAIAIdO4kDgtdZLFAMAAM0HAAAOAAAAAAAAAAEAIAAAACkBAABkcnMvZTJvRG9j&#10;LnhtbFBLBQYAAAAABgAGAFkBAACvBgAAAAA=&#10;">
              <o:lock v:ext="edit" aspectratio="f"/>
              <v:rect id="_x0000_s1026" o:spid="_x0000_s1026" o:spt="1" style="position:absolute;left:0;top:25876;height:59690;width:3590925;" fillcolor="#0D4081" filled="t" stroked="f" coordsize="21600,21600" o:gfxdata="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N5EbsAAADa&#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5263832;top:-1815941;height:3719512;width:87630;rotation:-5898240f;" fillcolor="#AE0C21" filled="t" stroked="f" coordsize="10000,10000" o:gfxdata="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YOmr4A&#10;AADaAAAADwAAAAAAAAABACAAAAAiAAAAZHJzL2Rvd25yZXYueG1sUEsBAhQAFAAAAAgAh07iQDMv&#10;BZ47AAAAOQAAABAAAAAAAAAAAQAgAAAADQEAAGRycy9zaGFwZXhtbC54bWxQSwUGAAAAAAYABgBb&#10;AQAAtwMAAAAA&#10;" path="m0,0l10000,366,10000,10000,0,10000,0,0xe">
                <v:fill on="t" focussize="0,0"/>
                <v:stroke on="f"/>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pStyle w:val="42"/>
      <w:suff w:val="nothing"/>
      <w:lvlText w:val="%1."/>
      <w:lvlJc w:val="left"/>
      <w:pPr>
        <w:ind w:left="0" w:firstLine="0"/>
      </w:pPr>
      <w:rPr>
        <w:rFonts w:hint="eastAsia"/>
      </w:rPr>
    </w:lvl>
    <w:lvl w:ilvl="1" w:tentative="0">
      <w:start w:val="1"/>
      <w:numFmt w:val="decimal"/>
      <w:pStyle w:val="44"/>
      <w:suff w:val="nothing"/>
      <w:lvlText w:val="%1.%2."/>
      <w:lvlJc w:val="left"/>
      <w:pPr>
        <w:ind w:left="0" w:firstLine="0"/>
      </w:pPr>
      <w:rPr>
        <w:rFonts w:hint="eastAsia"/>
      </w:rPr>
    </w:lvl>
    <w:lvl w:ilvl="2" w:tentative="0">
      <w:start w:val="1"/>
      <w:numFmt w:val="decimal"/>
      <w:pStyle w:val="45"/>
      <w:suff w:val="nothing"/>
      <w:lvlText w:val="%1.%2.%3."/>
      <w:lvlJc w:val="left"/>
      <w:pPr>
        <w:ind w:left="0" w:firstLine="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1"/>
    <w:multiLevelType w:val="multilevel"/>
    <w:tmpl w:val="00000001"/>
    <w:lvl w:ilvl="0" w:tentative="0">
      <w:start w:val="1"/>
      <w:numFmt w:val="decimal"/>
      <w:pStyle w:val="37"/>
      <w:suff w:val="space"/>
      <w:lvlText w:val="图%1 "/>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
    <w:nsid w:val="00000002"/>
    <w:multiLevelType w:val="multilevel"/>
    <w:tmpl w:val="00000002"/>
    <w:lvl w:ilvl="0" w:tentative="0">
      <w:start w:val="1"/>
      <w:numFmt w:val="bullet"/>
      <w:pStyle w:val="27"/>
      <w:lvlText w:val=""/>
      <w:lvlJc w:val="left"/>
      <w:pPr>
        <w:ind w:left="272" w:hanging="272"/>
      </w:p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0000003"/>
    <w:multiLevelType w:val="multilevel"/>
    <w:tmpl w:val="00000003"/>
    <w:lvl w:ilvl="0" w:tentative="0">
      <w:start w:val="1"/>
      <w:numFmt w:val="decimal"/>
      <w:pStyle w:val="38"/>
      <w:suff w:val="space"/>
      <w:lvlText w:val="表%1 "/>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4">
    <w:nsid w:val="00000004"/>
    <w:multiLevelType w:val="multilevel"/>
    <w:tmpl w:val="00000004"/>
    <w:lvl w:ilvl="0" w:tentative="0">
      <w:start w:val="1"/>
      <w:numFmt w:val="bullet"/>
      <w:pStyle w:val="47"/>
      <w:suff w:val="nothing"/>
      <w:lvlText w:val=""/>
      <w:lvlJc w:val="left"/>
      <w:pPr>
        <w:ind w:left="227" w:hanging="22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0000005"/>
    <w:multiLevelType w:val="multilevel"/>
    <w:tmpl w:val="00000005"/>
    <w:lvl w:ilvl="0" w:tentative="0">
      <w:start w:val="1"/>
      <w:numFmt w:val="decimal"/>
      <w:pStyle w:val="32"/>
      <w:suff w:val="nothing"/>
      <w:lvlText w:val="%1."/>
      <w:lvlJc w:val="left"/>
      <w:pPr>
        <w:ind w:left="0" w:firstLine="0"/>
      </w:pPr>
      <w:rPr>
        <w:rFonts w:hint="eastAsia"/>
      </w:rPr>
    </w:lvl>
    <w:lvl w:ilvl="1" w:tentative="0">
      <w:start w:val="1"/>
      <w:numFmt w:val="decimal"/>
      <w:pStyle w:val="33"/>
      <w:suff w:val="nothing"/>
      <w:lvlText w:val="%1.%2."/>
      <w:lvlJc w:val="left"/>
      <w:pPr>
        <w:ind w:left="0" w:firstLine="0"/>
      </w:pPr>
      <w:rPr>
        <w:rFonts w:hint="eastAsia"/>
      </w:rPr>
    </w:lvl>
    <w:lvl w:ilvl="2" w:tentative="0">
      <w:start w:val="1"/>
      <w:numFmt w:val="decimal"/>
      <w:pStyle w:val="34"/>
      <w:suff w:val="nothing"/>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xY2JlNjU3MjAwYWJlNDRmNmUyM2E1MTViMTJkZGQifQ=="/>
  </w:docVars>
  <w:rsids>
    <w:rsidRoot w:val="001879DE"/>
    <w:rsid w:val="000A51C6"/>
    <w:rsid w:val="000B7024"/>
    <w:rsid w:val="000D1336"/>
    <w:rsid w:val="0014431B"/>
    <w:rsid w:val="00170FE2"/>
    <w:rsid w:val="00187147"/>
    <w:rsid w:val="001879DE"/>
    <w:rsid w:val="0021766E"/>
    <w:rsid w:val="003440E5"/>
    <w:rsid w:val="00344499"/>
    <w:rsid w:val="003C3A6D"/>
    <w:rsid w:val="003F6C17"/>
    <w:rsid w:val="004127B0"/>
    <w:rsid w:val="004172DF"/>
    <w:rsid w:val="00417E84"/>
    <w:rsid w:val="00440419"/>
    <w:rsid w:val="00450DC6"/>
    <w:rsid w:val="0046694D"/>
    <w:rsid w:val="005006F4"/>
    <w:rsid w:val="005858DC"/>
    <w:rsid w:val="0059183F"/>
    <w:rsid w:val="005A1BA9"/>
    <w:rsid w:val="005F08A6"/>
    <w:rsid w:val="006053DC"/>
    <w:rsid w:val="00617C9A"/>
    <w:rsid w:val="00620757"/>
    <w:rsid w:val="00650EEE"/>
    <w:rsid w:val="007021CF"/>
    <w:rsid w:val="00724FDB"/>
    <w:rsid w:val="007E5EE5"/>
    <w:rsid w:val="0080496C"/>
    <w:rsid w:val="008C7FF6"/>
    <w:rsid w:val="008E34FA"/>
    <w:rsid w:val="008F3B97"/>
    <w:rsid w:val="009E060F"/>
    <w:rsid w:val="009E2238"/>
    <w:rsid w:val="00A04E8C"/>
    <w:rsid w:val="00A403AF"/>
    <w:rsid w:val="00A5383F"/>
    <w:rsid w:val="00B4739B"/>
    <w:rsid w:val="00B849A6"/>
    <w:rsid w:val="00C40BDF"/>
    <w:rsid w:val="00C8142C"/>
    <w:rsid w:val="00CB4C84"/>
    <w:rsid w:val="00CB4D28"/>
    <w:rsid w:val="00CE085A"/>
    <w:rsid w:val="00D0393F"/>
    <w:rsid w:val="00D46A5A"/>
    <w:rsid w:val="00D47DC9"/>
    <w:rsid w:val="00D569C9"/>
    <w:rsid w:val="00D6078A"/>
    <w:rsid w:val="00DD376B"/>
    <w:rsid w:val="00E03044"/>
    <w:rsid w:val="00E41C00"/>
    <w:rsid w:val="00E4619D"/>
    <w:rsid w:val="00E47CBF"/>
    <w:rsid w:val="00E70ED8"/>
    <w:rsid w:val="00E82D9E"/>
    <w:rsid w:val="00EE0F95"/>
    <w:rsid w:val="00EF7BD0"/>
    <w:rsid w:val="00FA4C7B"/>
    <w:rsid w:val="010A5E9D"/>
    <w:rsid w:val="010F3B4F"/>
    <w:rsid w:val="01204FE7"/>
    <w:rsid w:val="01345E86"/>
    <w:rsid w:val="01582BC2"/>
    <w:rsid w:val="017659F6"/>
    <w:rsid w:val="01FC1263"/>
    <w:rsid w:val="01FC36D0"/>
    <w:rsid w:val="020C1176"/>
    <w:rsid w:val="024873C8"/>
    <w:rsid w:val="02C31E14"/>
    <w:rsid w:val="02D91185"/>
    <w:rsid w:val="03190625"/>
    <w:rsid w:val="03250BB4"/>
    <w:rsid w:val="03254437"/>
    <w:rsid w:val="036761A6"/>
    <w:rsid w:val="03E66A74"/>
    <w:rsid w:val="03FE6319"/>
    <w:rsid w:val="044B2E68"/>
    <w:rsid w:val="04B425C4"/>
    <w:rsid w:val="04F23C97"/>
    <w:rsid w:val="05014C42"/>
    <w:rsid w:val="05E23036"/>
    <w:rsid w:val="07153E89"/>
    <w:rsid w:val="071830B3"/>
    <w:rsid w:val="074D6535"/>
    <w:rsid w:val="084D768D"/>
    <w:rsid w:val="087D271E"/>
    <w:rsid w:val="088A1A8F"/>
    <w:rsid w:val="08A763D9"/>
    <w:rsid w:val="08C76272"/>
    <w:rsid w:val="09503FD7"/>
    <w:rsid w:val="096677CF"/>
    <w:rsid w:val="09884131"/>
    <w:rsid w:val="09F9316B"/>
    <w:rsid w:val="0A320528"/>
    <w:rsid w:val="0A4B3E6F"/>
    <w:rsid w:val="0AA66B07"/>
    <w:rsid w:val="0AC7111B"/>
    <w:rsid w:val="0AF5210A"/>
    <w:rsid w:val="0B0B4725"/>
    <w:rsid w:val="0B1A79AF"/>
    <w:rsid w:val="0B1C1FC9"/>
    <w:rsid w:val="0B4E3A9D"/>
    <w:rsid w:val="0B673342"/>
    <w:rsid w:val="0B916712"/>
    <w:rsid w:val="0C115D59"/>
    <w:rsid w:val="0C2351AD"/>
    <w:rsid w:val="0C4E7DBD"/>
    <w:rsid w:val="0C6C4026"/>
    <w:rsid w:val="0CA5797A"/>
    <w:rsid w:val="0D3A4542"/>
    <w:rsid w:val="0DB20D09"/>
    <w:rsid w:val="0DCE1034"/>
    <w:rsid w:val="0DD77C44"/>
    <w:rsid w:val="0E737AC2"/>
    <w:rsid w:val="0F0F5662"/>
    <w:rsid w:val="0FBF739A"/>
    <w:rsid w:val="0FC10A69"/>
    <w:rsid w:val="10170173"/>
    <w:rsid w:val="10383F2B"/>
    <w:rsid w:val="103F0549"/>
    <w:rsid w:val="10404ECD"/>
    <w:rsid w:val="10BF5108"/>
    <w:rsid w:val="10D053A3"/>
    <w:rsid w:val="10F751F1"/>
    <w:rsid w:val="10F9519C"/>
    <w:rsid w:val="11E77F42"/>
    <w:rsid w:val="11E85E6F"/>
    <w:rsid w:val="123411BF"/>
    <w:rsid w:val="12864A74"/>
    <w:rsid w:val="12F450A8"/>
    <w:rsid w:val="130030B9"/>
    <w:rsid w:val="13141D5A"/>
    <w:rsid w:val="13277E44"/>
    <w:rsid w:val="134273A6"/>
    <w:rsid w:val="13877F19"/>
    <w:rsid w:val="142411AE"/>
    <w:rsid w:val="14AA6363"/>
    <w:rsid w:val="15921AC9"/>
    <w:rsid w:val="15AE4DEC"/>
    <w:rsid w:val="15C701C1"/>
    <w:rsid w:val="15F66C34"/>
    <w:rsid w:val="15F8737B"/>
    <w:rsid w:val="16352BFB"/>
    <w:rsid w:val="17593C0E"/>
    <w:rsid w:val="176026E9"/>
    <w:rsid w:val="17E02DA6"/>
    <w:rsid w:val="17ED7D87"/>
    <w:rsid w:val="183B26AC"/>
    <w:rsid w:val="18584E7F"/>
    <w:rsid w:val="18AA1406"/>
    <w:rsid w:val="18C55420"/>
    <w:rsid w:val="18F37F3A"/>
    <w:rsid w:val="1906629D"/>
    <w:rsid w:val="190C23A4"/>
    <w:rsid w:val="19735F92"/>
    <w:rsid w:val="19AC41D9"/>
    <w:rsid w:val="19B0586E"/>
    <w:rsid w:val="19C04A22"/>
    <w:rsid w:val="19CF3767"/>
    <w:rsid w:val="19D03A09"/>
    <w:rsid w:val="1A122C97"/>
    <w:rsid w:val="1AEE033B"/>
    <w:rsid w:val="1B00735C"/>
    <w:rsid w:val="1B8C4D27"/>
    <w:rsid w:val="1BF94449"/>
    <w:rsid w:val="1C7C6848"/>
    <w:rsid w:val="1C9B22E3"/>
    <w:rsid w:val="1CE57297"/>
    <w:rsid w:val="1CF83C14"/>
    <w:rsid w:val="1DDA5D11"/>
    <w:rsid w:val="1E260E02"/>
    <w:rsid w:val="1E871F32"/>
    <w:rsid w:val="1ED012D0"/>
    <w:rsid w:val="1EDB2FE2"/>
    <w:rsid w:val="1EE13BBC"/>
    <w:rsid w:val="1F0734E7"/>
    <w:rsid w:val="1F3A2EC9"/>
    <w:rsid w:val="1F9D516C"/>
    <w:rsid w:val="1FDC66BC"/>
    <w:rsid w:val="1FE11020"/>
    <w:rsid w:val="1FE32F45"/>
    <w:rsid w:val="20282B52"/>
    <w:rsid w:val="20295470"/>
    <w:rsid w:val="202A6055"/>
    <w:rsid w:val="20404975"/>
    <w:rsid w:val="20824940"/>
    <w:rsid w:val="20826ABD"/>
    <w:rsid w:val="20DB0011"/>
    <w:rsid w:val="2118245A"/>
    <w:rsid w:val="212B3BED"/>
    <w:rsid w:val="21805301"/>
    <w:rsid w:val="21A110B9"/>
    <w:rsid w:val="21E408A9"/>
    <w:rsid w:val="222B5C44"/>
    <w:rsid w:val="2251345B"/>
    <w:rsid w:val="22AD060E"/>
    <w:rsid w:val="22D55C33"/>
    <w:rsid w:val="23B1119F"/>
    <w:rsid w:val="244E0133"/>
    <w:rsid w:val="24593831"/>
    <w:rsid w:val="246D4310"/>
    <w:rsid w:val="25B427E8"/>
    <w:rsid w:val="25DE362C"/>
    <w:rsid w:val="261C0F13"/>
    <w:rsid w:val="266E549A"/>
    <w:rsid w:val="26914755"/>
    <w:rsid w:val="26B75F6B"/>
    <w:rsid w:val="26F81B7B"/>
    <w:rsid w:val="272571C7"/>
    <w:rsid w:val="27A27E15"/>
    <w:rsid w:val="28011059"/>
    <w:rsid w:val="28165C87"/>
    <w:rsid w:val="285F6C9D"/>
    <w:rsid w:val="28D25F89"/>
    <w:rsid w:val="290851A4"/>
    <w:rsid w:val="292C0EFE"/>
    <w:rsid w:val="296C2904"/>
    <w:rsid w:val="29940245"/>
    <w:rsid w:val="29B25EA3"/>
    <w:rsid w:val="29CC039F"/>
    <w:rsid w:val="2A093A87"/>
    <w:rsid w:val="2A144016"/>
    <w:rsid w:val="2A2036AC"/>
    <w:rsid w:val="2A285235"/>
    <w:rsid w:val="2AE41E7C"/>
    <w:rsid w:val="2AE50D84"/>
    <w:rsid w:val="2AF911D1"/>
    <w:rsid w:val="2B341EF0"/>
    <w:rsid w:val="2B5946AE"/>
    <w:rsid w:val="2B5D3585"/>
    <w:rsid w:val="2BEE583F"/>
    <w:rsid w:val="2BEE590B"/>
    <w:rsid w:val="2C106849"/>
    <w:rsid w:val="2C497D50"/>
    <w:rsid w:val="2C6401ED"/>
    <w:rsid w:val="2D0D0FDB"/>
    <w:rsid w:val="2D354EB8"/>
    <w:rsid w:val="2D5C2B7A"/>
    <w:rsid w:val="2D9B3963"/>
    <w:rsid w:val="2DD2603B"/>
    <w:rsid w:val="2DD35D80"/>
    <w:rsid w:val="2ED27DE6"/>
    <w:rsid w:val="2EE83614"/>
    <w:rsid w:val="2EFF36B1"/>
    <w:rsid w:val="2F0D38A8"/>
    <w:rsid w:val="2F966089"/>
    <w:rsid w:val="2FBB395D"/>
    <w:rsid w:val="301A5EE8"/>
    <w:rsid w:val="302B4F16"/>
    <w:rsid w:val="30516EF3"/>
    <w:rsid w:val="30680877"/>
    <w:rsid w:val="30BA719A"/>
    <w:rsid w:val="30C74D94"/>
    <w:rsid w:val="31191ACB"/>
    <w:rsid w:val="317503B0"/>
    <w:rsid w:val="3193239F"/>
    <w:rsid w:val="31984B75"/>
    <w:rsid w:val="31A11C7A"/>
    <w:rsid w:val="32371F62"/>
    <w:rsid w:val="32650AE5"/>
    <w:rsid w:val="326F3E4B"/>
    <w:rsid w:val="333A261A"/>
    <w:rsid w:val="335331C4"/>
    <w:rsid w:val="33C11FEA"/>
    <w:rsid w:val="34825E35"/>
    <w:rsid w:val="34881727"/>
    <w:rsid w:val="34D64457"/>
    <w:rsid w:val="34DF2A86"/>
    <w:rsid w:val="34F05A91"/>
    <w:rsid w:val="34F34F5A"/>
    <w:rsid w:val="35DA55BC"/>
    <w:rsid w:val="36823E86"/>
    <w:rsid w:val="36A014CE"/>
    <w:rsid w:val="36B02BC6"/>
    <w:rsid w:val="36C4260E"/>
    <w:rsid w:val="37227682"/>
    <w:rsid w:val="3748403E"/>
    <w:rsid w:val="378A6204"/>
    <w:rsid w:val="37A24786"/>
    <w:rsid w:val="37DD7DB5"/>
    <w:rsid w:val="37FF4991"/>
    <w:rsid w:val="381A0618"/>
    <w:rsid w:val="38433CF6"/>
    <w:rsid w:val="38504871"/>
    <w:rsid w:val="386A6F8E"/>
    <w:rsid w:val="395A27A5"/>
    <w:rsid w:val="396A50BF"/>
    <w:rsid w:val="398D772B"/>
    <w:rsid w:val="39C678D5"/>
    <w:rsid w:val="39DC787B"/>
    <w:rsid w:val="3A502985"/>
    <w:rsid w:val="3A7641F6"/>
    <w:rsid w:val="3AAC73B3"/>
    <w:rsid w:val="3AEB113C"/>
    <w:rsid w:val="3B551E8B"/>
    <w:rsid w:val="3B8246F6"/>
    <w:rsid w:val="3BA5016B"/>
    <w:rsid w:val="3C907D69"/>
    <w:rsid w:val="3CEC54EB"/>
    <w:rsid w:val="3D083AC9"/>
    <w:rsid w:val="3D3A7632"/>
    <w:rsid w:val="3D744C49"/>
    <w:rsid w:val="3D8E7E7B"/>
    <w:rsid w:val="3DF1173F"/>
    <w:rsid w:val="3DF641B8"/>
    <w:rsid w:val="3E2A7B0A"/>
    <w:rsid w:val="3E5E28E2"/>
    <w:rsid w:val="3F081602"/>
    <w:rsid w:val="3F16680E"/>
    <w:rsid w:val="3F8B2050"/>
    <w:rsid w:val="3FC0524C"/>
    <w:rsid w:val="3FF42706"/>
    <w:rsid w:val="40227C45"/>
    <w:rsid w:val="4029260C"/>
    <w:rsid w:val="405A6AF8"/>
    <w:rsid w:val="40963817"/>
    <w:rsid w:val="40CD665F"/>
    <w:rsid w:val="41B834A9"/>
    <w:rsid w:val="42274E97"/>
    <w:rsid w:val="425973CB"/>
    <w:rsid w:val="43232E33"/>
    <w:rsid w:val="43592C8A"/>
    <w:rsid w:val="437E5448"/>
    <w:rsid w:val="43B102AA"/>
    <w:rsid w:val="43B40A67"/>
    <w:rsid w:val="440A589F"/>
    <w:rsid w:val="441C404D"/>
    <w:rsid w:val="44537C5D"/>
    <w:rsid w:val="44790DA8"/>
    <w:rsid w:val="458A2D71"/>
    <w:rsid w:val="45D1274E"/>
    <w:rsid w:val="46AD3081"/>
    <w:rsid w:val="46D01A2F"/>
    <w:rsid w:val="46DC034D"/>
    <w:rsid w:val="46E72AAE"/>
    <w:rsid w:val="472674C8"/>
    <w:rsid w:val="473E4B6F"/>
    <w:rsid w:val="47B45E32"/>
    <w:rsid w:val="47D17961"/>
    <w:rsid w:val="47E64083"/>
    <w:rsid w:val="480042D3"/>
    <w:rsid w:val="487E0229"/>
    <w:rsid w:val="48867F11"/>
    <w:rsid w:val="48E02407"/>
    <w:rsid w:val="49BE170B"/>
    <w:rsid w:val="49FD6C71"/>
    <w:rsid w:val="4A65539B"/>
    <w:rsid w:val="4ACB2B41"/>
    <w:rsid w:val="4B282EDB"/>
    <w:rsid w:val="4B4F56F5"/>
    <w:rsid w:val="4BBC594D"/>
    <w:rsid w:val="4CD17A02"/>
    <w:rsid w:val="4CD5656A"/>
    <w:rsid w:val="4CDE6D29"/>
    <w:rsid w:val="4CE82EBC"/>
    <w:rsid w:val="4D08596F"/>
    <w:rsid w:val="4D243AAB"/>
    <w:rsid w:val="4D4E60E3"/>
    <w:rsid w:val="4EC35C45"/>
    <w:rsid w:val="4EE82007"/>
    <w:rsid w:val="4FB2475C"/>
    <w:rsid w:val="4FC50CEB"/>
    <w:rsid w:val="50701184"/>
    <w:rsid w:val="50C80BF1"/>
    <w:rsid w:val="510F580A"/>
    <w:rsid w:val="51513CF5"/>
    <w:rsid w:val="51712691"/>
    <w:rsid w:val="525A582C"/>
    <w:rsid w:val="52DC07A3"/>
    <w:rsid w:val="53685A87"/>
    <w:rsid w:val="53D10891"/>
    <w:rsid w:val="54082F69"/>
    <w:rsid w:val="543212CA"/>
    <w:rsid w:val="54F63F9A"/>
    <w:rsid w:val="55324FD5"/>
    <w:rsid w:val="554F0D02"/>
    <w:rsid w:val="55E61F4A"/>
    <w:rsid w:val="5613432C"/>
    <w:rsid w:val="5618220D"/>
    <w:rsid w:val="566F6BDB"/>
    <w:rsid w:val="56C24467"/>
    <w:rsid w:val="57392849"/>
    <w:rsid w:val="57555BD4"/>
    <w:rsid w:val="575C2D70"/>
    <w:rsid w:val="57D26822"/>
    <w:rsid w:val="58237526"/>
    <w:rsid w:val="58422359"/>
    <w:rsid w:val="587A37B8"/>
    <w:rsid w:val="58DE7C59"/>
    <w:rsid w:val="58E95545"/>
    <w:rsid w:val="590D2D27"/>
    <w:rsid w:val="59311C62"/>
    <w:rsid w:val="5977487A"/>
    <w:rsid w:val="59B1153E"/>
    <w:rsid w:val="59FB712C"/>
    <w:rsid w:val="5B37709F"/>
    <w:rsid w:val="5B6461B7"/>
    <w:rsid w:val="5B792E20"/>
    <w:rsid w:val="5C510905"/>
    <w:rsid w:val="5C74386D"/>
    <w:rsid w:val="5CB0091F"/>
    <w:rsid w:val="5CC418E7"/>
    <w:rsid w:val="5D053371"/>
    <w:rsid w:val="5D260ECC"/>
    <w:rsid w:val="5D911291"/>
    <w:rsid w:val="5DB25A2D"/>
    <w:rsid w:val="5DC913EB"/>
    <w:rsid w:val="5DF07B98"/>
    <w:rsid w:val="5E264005"/>
    <w:rsid w:val="5E502172"/>
    <w:rsid w:val="5F872646"/>
    <w:rsid w:val="5FA266F3"/>
    <w:rsid w:val="5FCD3B2E"/>
    <w:rsid w:val="604030F9"/>
    <w:rsid w:val="6084792B"/>
    <w:rsid w:val="60B430B8"/>
    <w:rsid w:val="60B45B75"/>
    <w:rsid w:val="60CD73B2"/>
    <w:rsid w:val="60D07165"/>
    <w:rsid w:val="61001EB2"/>
    <w:rsid w:val="617B3D7A"/>
    <w:rsid w:val="61D43510"/>
    <w:rsid w:val="61E82EA1"/>
    <w:rsid w:val="621124B3"/>
    <w:rsid w:val="622329EE"/>
    <w:rsid w:val="62336B76"/>
    <w:rsid w:val="62371F2F"/>
    <w:rsid w:val="62874F65"/>
    <w:rsid w:val="628E5195"/>
    <w:rsid w:val="62B65900"/>
    <w:rsid w:val="62B71584"/>
    <w:rsid w:val="62D1212E"/>
    <w:rsid w:val="62D22D91"/>
    <w:rsid w:val="62FF1978"/>
    <w:rsid w:val="63133E9C"/>
    <w:rsid w:val="631A3827"/>
    <w:rsid w:val="63547812"/>
    <w:rsid w:val="639D2FA3"/>
    <w:rsid w:val="6443458E"/>
    <w:rsid w:val="644F5C52"/>
    <w:rsid w:val="645B2050"/>
    <w:rsid w:val="647C396F"/>
    <w:rsid w:val="64D11873"/>
    <w:rsid w:val="653E3A25"/>
    <w:rsid w:val="65866818"/>
    <w:rsid w:val="65AE7F5D"/>
    <w:rsid w:val="65C32230"/>
    <w:rsid w:val="65C94D98"/>
    <w:rsid w:val="660F6CFC"/>
    <w:rsid w:val="6624011A"/>
    <w:rsid w:val="665A26EC"/>
    <w:rsid w:val="66C26EF0"/>
    <w:rsid w:val="677020FA"/>
    <w:rsid w:val="67785B6B"/>
    <w:rsid w:val="67BD3540"/>
    <w:rsid w:val="6820594A"/>
    <w:rsid w:val="683C7AA3"/>
    <w:rsid w:val="68991C29"/>
    <w:rsid w:val="68A66D41"/>
    <w:rsid w:val="68B735CD"/>
    <w:rsid w:val="68C22DEE"/>
    <w:rsid w:val="68FE73CF"/>
    <w:rsid w:val="691C41AC"/>
    <w:rsid w:val="692A1518"/>
    <w:rsid w:val="692E4097"/>
    <w:rsid w:val="69311D3D"/>
    <w:rsid w:val="698D5E2D"/>
    <w:rsid w:val="69B15EAA"/>
    <w:rsid w:val="6A7C7DAA"/>
    <w:rsid w:val="6BB9576B"/>
    <w:rsid w:val="6C0576C7"/>
    <w:rsid w:val="6C1B0CDC"/>
    <w:rsid w:val="6CCF670C"/>
    <w:rsid w:val="6CDA55F7"/>
    <w:rsid w:val="6D305B30"/>
    <w:rsid w:val="6D42384C"/>
    <w:rsid w:val="6D584E56"/>
    <w:rsid w:val="6D5A2556"/>
    <w:rsid w:val="6DDF2337"/>
    <w:rsid w:val="6DF945A4"/>
    <w:rsid w:val="6E2543EE"/>
    <w:rsid w:val="6E3B50E8"/>
    <w:rsid w:val="6E4F3D89"/>
    <w:rsid w:val="6EA52E15"/>
    <w:rsid w:val="6F7E1F28"/>
    <w:rsid w:val="6F9F4B7A"/>
    <w:rsid w:val="6FCB0CF7"/>
    <w:rsid w:val="6FDC4815"/>
    <w:rsid w:val="6FE3419F"/>
    <w:rsid w:val="6FE82C95"/>
    <w:rsid w:val="700E4C63"/>
    <w:rsid w:val="70650EF5"/>
    <w:rsid w:val="70C71E93"/>
    <w:rsid w:val="71107281"/>
    <w:rsid w:val="71170D19"/>
    <w:rsid w:val="714A1357"/>
    <w:rsid w:val="715D5C0A"/>
    <w:rsid w:val="716B07A3"/>
    <w:rsid w:val="716D5EA5"/>
    <w:rsid w:val="718B55F7"/>
    <w:rsid w:val="71A44A93"/>
    <w:rsid w:val="71AB378B"/>
    <w:rsid w:val="71C40109"/>
    <w:rsid w:val="729B5D0E"/>
    <w:rsid w:val="72D75477"/>
    <w:rsid w:val="72EB4117"/>
    <w:rsid w:val="73123FD7"/>
    <w:rsid w:val="731A0427"/>
    <w:rsid w:val="731A76E0"/>
    <w:rsid w:val="738C11EF"/>
    <w:rsid w:val="743B05C1"/>
    <w:rsid w:val="744321B9"/>
    <w:rsid w:val="745942EE"/>
    <w:rsid w:val="7499095B"/>
    <w:rsid w:val="74C00C02"/>
    <w:rsid w:val="74C472BA"/>
    <w:rsid w:val="74D25826"/>
    <w:rsid w:val="753374D4"/>
    <w:rsid w:val="7544443B"/>
    <w:rsid w:val="75473F77"/>
    <w:rsid w:val="757C69CF"/>
    <w:rsid w:val="762E09F1"/>
    <w:rsid w:val="76435113"/>
    <w:rsid w:val="768D3BBF"/>
    <w:rsid w:val="76D75987"/>
    <w:rsid w:val="76E063E5"/>
    <w:rsid w:val="771D2878"/>
    <w:rsid w:val="777C69FB"/>
    <w:rsid w:val="778979A9"/>
    <w:rsid w:val="7793351B"/>
    <w:rsid w:val="77A33DD6"/>
    <w:rsid w:val="77D210A2"/>
    <w:rsid w:val="77D47E28"/>
    <w:rsid w:val="77F74E64"/>
    <w:rsid w:val="77FD7967"/>
    <w:rsid w:val="78260B2C"/>
    <w:rsid w:val="78A371FC"/>
    <w:rsid w:val="78A459B6"/>
    <w:rsid w:val="791A5BDE"/>
    <w:rsid w:val="79992DC9"/>
    <w:rsid w:val="79DF1182"/>
    <w:rsid w:val="79EF399B"/>
    <w:rsid w:val="79F6190C"/>
    <w:rsid w:val="7A541141"/>
    <w:rsid w:val="7B135CFC"/>
    <w:rsid w:val="7B634AE6"/>
    <w:rsid w:val="7BA23C69"/>
    <w:rsid w:val="7BDA4256"/>
    <w:rsid w:val="7C0B2E6D"/>
    <w:rsid w:val="7C7855C3"/>
    <w:rsid w:val="7CAD1FF0"/>
    <w:rsid w:val="7CD249D8"/>
    <w:rsid w:val="7CE314B1"/>
    <w:rsid w:val="7D0B7016"/>
    <w:rsid w:val="7D594449"/>
    <w:rsid w:val="7DBC01D8"/>
    <w:rsid w:val="7DE97618"/>
    <w:rsid w:val="7E132DE5"/>
    <w:rsid w:val="7E271A86"/>
    <w:rsid w:val="7E6A7F71"/>
    <w:rsid w:val="7E90249F"/>
    <w:rsid w:val="7EAC2126"/>
    <w:rsid w:val="7ECD5A97"/>
    <w:rsid w:val="7F5043DF"/>
    <w:rsid w:val="7FBC3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39"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39"/>
    <w:pPr>
      <w:widowControl w:val="0"/>
      <w:jc w:val="both"/>
    </w:pPr>
    <w:rPr>
      <w:rFonts w:ascii="等线" w:hAnsi="等线" w:eastAsia="等线" w:cs="宋体"/>
      <w:kern w:val="2"/>
      <w:sz w:val="21"/>
      <w:szCs w:val="21"/>
      <w:lang w:val="en-US" w:eastAsia="zh-CN" w:bidi="ar-SA"/>
    </w:rPr>
  </w:style>
  <w:style w:type="paragraph" w:styleId="2">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41"/>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adjustRightInd w:val="0"/>
      <w:snapToGrid w:val="0"/>
    </w:pPr>
    <w:rPr>
      <w:rFonts w:ascii="Arial" w:hAnsi="Arial" w:eastAsia="微软雅黑"/>
      <w:color w:val="000000"/>
      <w:sz w:val="24"/>
    </w:rPr>
  </w:style>
  <w:style w:type="paragraph" w:styleId="6">
    <w:name w:val="footer"/>
    <w:basedOn w:val="1"/>
    <w:link w:val="26"/>
    <w:qFormat/>
    <w:uiPriority w:val="99"/>
    <w:pPr>
      <w:tabs>
        <w:tab w:val="center" w:pos="4153"/>
        <w:tab w:val="right" w:pos="8306"/>
      </w:tabs>
      <w:snapToGrid w:val="0"/>
      <w:jc w:val="left"/>
    </w:pPr>
    <w:rPr>
      <w:sz w:val="18"/>
      <w:szCs w:val="18"/>
    </w:rPr>
  </w:style>
  <w:style w:type="paragraph" w:styleId="7">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9"/>
    <w:next w:val="1"/>
    <w:qFormat/>
    <w:uiPriority w:val="39"/>
    <w:pPr>
      <w:tabs>
        <w:tab w:val="right" w:leader="dot" w:pos="10195"/>
      </w:tabs>
      <w:spacing w:before="50" w:beforeLines="50" w:after="50" w:afterLines="50"/>
    </w:pPr>
    <w:rPr>
      <w:b/>
      <w:color w:val="D70C25"/>
      <w:sz w:val="28"/>
    </w:rPr>
  </w:style>
  <w:style w:type="paragraph" w:customStyle="1" w:styleId="9">
    <w:name w:val="【正文】基础样式"/>
    <w:qFormat/>
    <w:uiPriority w:val="11"/>
    <w:pPr>
      <w:adjustRightInd w:val="0"/>
      <w:snapToGrid w:val="0"/>
    </w:pPr>
    <w:rPr>
      <w:rFonts w:ascii="Arial" w:hAnsi="Arial" w:eastAsia="方正兰亭圆简体" w:cs="宋体"/>
      <w:kern w:val="2"/>
      <w:szCs w:val="21"/>
      <w:lang w:val="en-US" w:eastAsia="zh-CN" w:bidi="ar-SA"/>
    </w:rPr>
  </w:style>
  <w:style w:type="paragraph" w:styleId="10">
    <w:name w:val="table of figures"/>
    <w:basedOn w:val="1"/>
    <w:next w:val="1"/>
    <w:qFormat/>
    <w:uiPriority w:val="99"/>
    <w:pPr>
      <w:adjustRightInd w:val="0"/>
      <w:snapToGrid w:val="0"/>
    </w:pPr>
    <w:rPr>
      <w:rFonts w:ascii="Arial" w:hAnsi="Arial" w:eastAsia="方正兰亭圆简体"/>
      <w:color w:val="000000"/>
      <w:sz w:val="20"/>
    </w:rPr>
  </w:style>
  <w:style w:type="paragraph" w:styleId="11">
    <w:name w:val="toc 2"/>
    <w:basedOn w:val="1"/>
    <w:next w:val="1"/>
    <w:qFormat/>
    <w:uiPriority w:val="39"/>
    <w:pPr>
      <w:adjustRightInd w:val="0"/>
      <w:snapToGrid w:val="0"/>
    </w:pPr>
    <w:rPr>
      <w:rFonts w:ascii="Arial" w:hAnsi="Arial" w:eastAsia="方正兰亭圆简体"/>
      <w:color w:val="000000"/>
      <w:sz w:val="24"/>
    </w:rPr>
  </w:style>
  <w:style w:type="paragraph" w:styleId="12">
    <w:name w:val="Normal (Web)"/>
    <w:basedOn w:val="1"/>
    <w:qFormat/>
    <w:uiPriority w:val="99"/>
    <w:pPr>
      <w:spacing w:beforeAutospacing="1" w:afterAutospacing="1"/>
      <w:jc w:val="left"/>
    </w:pPr>
    <w:rPr>
      <w:kern w:val="0"/>
      <w:sz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FollowedHyperlink"/>
    <w:basedOn w:val="15"/>
    <w:qFormat/>
    <w:uiPriority w:val="0"/>
    <w:rPr>
      <w:color w:val="1890FF"/>
      <w:u w:val="none"/>
    </w:rPr>
  </w:style>
  <w:style w:type="character" w:styleId="18">
    <w:name w:val="HTML Definition"/>
    <w:basedOn w:val="15"/>
    <w:qFormat/>
    <w:uiPriority w:val="0"/>
  </w:style>
  <w:style w:type="character" w:styleId="19">
    <w:name w:val="HTML Variable"/>
    <w:basedOn w:val="15"/>
    <w:qFormat/>
    <w:uiPriority w:val="0"/>
  </w:style>
  <w:style w:type="character" w:styleId="20">
    <w:name w:val="Hyperlink"/>
    <w:basedOn w:val="15"/>
    <w:qFormat/>
    <w:uiPriority w:val="99"/>
    <w:rPr>
      <w:color w:val="0563C1"/>
      <w:u w:val="single"/>
    </w:rPr>
  </w:style>
  <w:style w:type="character" w:styleId="21">
    <w:name w:val="HTML Code"/>
    <w:basedOn w:val="15"/>
    <w:qFormat/>
    <w:uiPriority w:val="0"/>
    <w:rPr>
      <w:rFonts w:ascii="Courier New" w:hAnsi="Courier New" w:eastAsia="Courier New" w:cs="Courier New"/>
      <w:sz w:val="21"/>
      <w:szCs w:val="21"/>
    </w:rPr>
  </w:style>
  <w:style w:type="character" w:styleId="22">
    <w:name w:val="HTML Cite"/>
    <w:basedOn w:val="15"/>
    <w:qFormat/>
    <w:uiPriority w:val="0"/>
  </w:style>
  <w:style w:type="character" w:styleId="23">
    <w:name w:val="HTML Keyboard"/>
    <w:basedOn w:val="15"/>
    <w:qFormat/>
    <w:uiPriority w:val="0"/>
    <w:rPr>
      <w:rFonts w:hint="default" w:ascii="Courier New" w:hAnsi="Courier New" w:eastAsia="Courier New" w:cs="Courier New"/>
      <w:sz w:val="21"/>
      <w:szCs w:val="21"/>
    </w:rPr>
  </w:style>
  <w:style w:type="character" w:styleId="24">
    <w:name w:val="HTML Sample"/>
    <w:basedOn w:val="15"/>
    <w:qFormat/>
    <w:uiPriority w:val="0"/>
    <w:rPr>
      <w:rFonts w:hint="default" w:ascii="Courier New" w:hAnsi="Courier New" w:eastAsia="Courier New" w:cs="Courier New"/>
      <w:sz w:val="21"/>
      <w:szCs w:val="21"/>
    </w:rPr>
  </w:style>
  <w:style w:type="character" w:customStyle="1" w:styleId="25">
    <w:name w:val="页眉 字符"/>
    <w:basedOn w:val="15"/>
    <w:link w:val="7"/>
    <w:qFormat/>
    <w:uiPriority w:val="99"/>
    <w:rPr>
      <w:sz w:val="18"/>
      <w:szCs w:val="18"/>
    </w:rPr>
  </w:style>
  <w:style w:type="character" w:customStyle="1" w:styleId="26">
    <w:name w:val="页脚 字符"/>
    <w:basedOn w:val="15"/>
    <w:link w:val="6"/>
    <w:qFormat/>
    <w:uiPriority w:val="99"/>
    <w:rPr>
      <w:sz w:val="18"/>
      <w:szCs w:val="18"/>
    </w:rPr>
  </w:style>
  <w:style w:type="paragraph" w:customStyle="1" w:styleId="27">
    <w:name w:val="【摘要】内容样式"/>
    <w:basedOn w:val="28"/>
    <w:qFormat/>
    <w:uiPriority w:val="1"/>
    <w:pPr>
      <w:numPr>
        <w:ilvl w:val="0"/>
        <w:numId w:val="1"/>
      </w:numPr>
      <w:spacing w:after="50" w:afterLines="50" w:line="400" w:lineRule="exact"/>
    </w:pPr>
    <w:rPr>
      <w:rFonts w:ascii="Arial" w:hAnsi="Arial" w:eastAsia="思源黑体"/>
      <w:sz w:val="18"/>
    </w:rPr>
  </w:style>
  <w:style w:type="paragraph" w:customStyle="1" w:styleId="28">
    <w:name w:val="【首页】基础样式"/>
    <w:qFormat/>
    <w:uiPriority w:val="39"/>
    <w:pPr>
      <w:autoSpaceDE w:val="0"/>
      <w:autoSpaceDN w:val="0"/>
      <w:adjustRightInd w:val="0"/>
      <w:snapToGrid w:val="0"/>
    </w:pPr>
    <w:rPr>
      <w:rFonts w:ascii="方正兰亭圆简体" w:hAnsi="等线" w:eastAsia="方正兰亭圆简体" w:cs="宋体"/>
      <w:kern w:val="2"/>
      <w:sz w:val="21"/>
      <w:szCs w:val="21"/>
      <w:lang w:val="en-US" w:eastAsia="zh-CN" w:bidi="ar-SA"/>
    </w:rPr>
  </w:style>
  <w:style w:type="character" w:customStyle="1" w:styleId="29">
    <w:name w:val="【摘要】标题样式"/>
    <w:qFormat/>
    <w:uiPriority w:val="0"/>
    <w:rPr>
      <w:rFonts w:ascii="Arial" w:hAnsi="Arial" w:eastAsia="方正兰亭圆简体"/>
      <w:b/>
      <w:bCs/>
      <w:color w:val="000000"/>
      <w:sz w:val="18"/>
    </w:rPr>
  </w:style>
  <w:style w:type="paragraph" w:customStyle="1" w:styleId="30">
    <w:name w:val="【分析师】标题样式"/>
    <w:basedOn w:val="28"/>
    <w:qFormat/>
    <w:uiPriority w:val="9"/>
    <w:rPr>
      <w:b/>
      <w:color w:val="D70C25"/>
      <w:sz w:val="18"/>
    </w:rPr>
  </w:style>
  <w:style w:type="paragraph" w:customStyle="1" w:styleId="31">
    <w:name w:val="【分析师】内容样式"/>
    <w:basedOn w:val="28"/>
    <w:qFormat/>
    <w:uiPriority w:val="10"/>
    <w:rPr>
      <w:rFonts w:ascii="Arial" w:hAnsi="Arial"/>
      <w:sz w:val="18"/>
    </w:rPr>
  </w:style>
  <w:style w:type="paragraph" w:customStyle="1" w:styleId="32">
    <w:name w:val="【正文】一级标题"/>
    <w:basedOn w:val="9"/>
    <w:next w:val="33"/>
    <w:qFormat/>
    <w:uiPriority w:val="2"/>
    <w:pPr>
      <w:numPr>
        <w:ilvl w:val="0"/>
        <w:numId w:val="2"/>
      </w:numPr>
      <w:spacing w:before="156" w:beforeLines="50" w:after="156" w:afterLines="50"/>
      <w:outlineLvl w:val="0"/>
    </w:pPr>
    <w:rPr>
      <w:b/>
      <w:color w:val="D70C25"/>
      <w:sz w:val="36"/>
    </w:rPr>
  </w:style>
  <w:style w:type="paragraph" w:customStyle="1" w:styleId="33">
    <w:name w:val="【正文】二级标题"/>
    <w:basedOn w:val="9"/>
    <w:next w:val="34"/>
    <w:qFormat/>
    <w:uiPriority w:val="3"/>
    <w:pPr>
      <w:numPr>
        <w:ilvl w:val="1"/>
        <w:numId w:val="2"/>
      </w:numPr>
      <w:spacing w:before="50" w:beforeLines="50" w:after="50" w:afterLines="50"/>
      <w:outlineLvl w:val="1"/>
    </w:pPr>
    <w:rPr>
      <w:b/>
      <w:color w:val="E10C25"/>
      <w:sz w:val="30"/>
    </w:rPr>
  </w:style>
  <w:style w:type="paragraph" w:customStyle="1" w:styleId="34">
    <w:name w:val="【正文】三级标题"/>
    <w:basedOn w:val="9"/>
    <w:next w:val="35"/>
    <w:qFormat/>
    <w:uiPriority w:val="4"/>
    <w:pPr>
      <w:numPr>
        <w:ilvl w:val="2"/>
        <w:numId w:val="2"/>
      </w:numPr>
      <w:spacing w:before="50" w:beforeLines="50" w:after="50" w:afterLines="50"/>
      <w:outlineLvl w:val="2"/>
    </w:pPr>
    <w:rPr>
      <w:b/>
      <w:color w:val="E10C25"/>
      <w:sz w:val="24"/>
    </w:rPr>
  </w:style>
  <w:style w:type="paragraph" w:customStyle="1" w:styleId="35">
    <w:name w:val="【正文】内容样式"/>
    <w:basedOn w:val="9"/>
    <w:qFormat/>
    <w:uiPriority w:val="5"/>
    <w:pPr>
      <w:spacing w:after="50" w:afterLines="50" w:line="400" w:lineRule="exact"/>
      <w:ind w:firstLine="200" w:firstLineChars="200"/>
    </w:pPr>
    <w:rPr>
      <w:rFonts w:eastAsia="思源黑体"/>
      <w:color w:val="000000"/>
    </w:rPr>
  </w:style>
  <w:style w:type="paragraph" w:customStyle="1" w:styleId="36">
    <w:name w:val="【正文】资料来源"/>
    <w:basedOn w:val="9"/>
    <w:qFormat/>
    <w:uiPriority w:val="8"/>
    <w:pPr>
      <w:widowControl w:val="0"/>
      <w:jc w:val="both"/>
    </w:pPr>
    <w:rPr>
      <w:color w:val="E10C25"/>
      <w:sz w:val="18"/>
      <w:szCs w:val="20"/>
    </w:rPr>
  </w:style>
  <w:style w:type="paragraph" w:customStyle="1" w:styleId="37">
    <w:name w:val="【正文】图标题"/>
    <w:basedOn w:val="9"/>
    <w:qFormat/>
    <w:uiPriority w:val="6"/>
    <w:pPr>
      <w:keepNext/>
      <w:widowControl w:val="0"/>
      <w:numPr>
        <w:ilvl w:val="0"/>
        <w:numId w:val="3"/>
      </w:numPr>
      <w:jc w:val="both"/>
    </w:pPr>
    <w:rPr>
      <w:b/>
      <w:bCs/>
      <w:color w:val="E10C25"/>
    </w:rPr>
  </w:style>
  <w:style w:type="paragraph" w:customStyle="1" w:styleId="38">
    <w:name w:val="【正文】表标题"/>
    <w:basedOn w:val="9"/>
    <w:qFormat/>
    <w:uiPriority w:val="7"/>
    <w:pPr>
      <w:keepNext/>
      <w:widowControl w:val="0"/>
      <w:numPr>
        <w:ilvl w:val="0"/>
        <w:numId w:val="4"/>
      </w:numPr>
      <w:jc w:val="both"/>
    </w:pPr>
    <w:rPr>
      <w:b/>
      <w:color w:val="E10C25"/>
      <w:szCs w:val="20"/>
    </w:rPr>
  </w:style>
  <w:style w:type="character" w:customStyle="1" w:styleId="39">
    <w:name w:val="标题 1 字符"/>
    <w:basedOn w:val="15"/>
    <w:link w:val="2"/>
    <w:qFormat/>
    <w:uiPriority w:val="9"/>
    <w:rPr>
      <w:b/>
      <w:bCs/>
      <w:kern w:val="44"/>
      <w:sz w:val="44"/>
      <w:szCs w:val="44"/>
    </w:rPr>
  </w:style>
  <w:style w:type="character" w:customStyle="1" w:styleId="40">
    <w:name w:val="标题 2 字符"/>
    <w:basedOn w:val="15"/>
    <w:link w:val="3"/>
    <w:qFormat/>
    <w:uiPriority w:val="9"/>
    <w:rPr>
      <w:rFonts w:ascii="等线 Light" w:hAnsi="等线 Light" w:eastAsia="等线 Light" w:cs="宋体"/>
      <w:b/>
      <w:bCs/>
      <w:sz w:val="32"/>
      <w:szCs w:val="32"/>
    </w:rPr>
  </w:style>
  <w:style w:type="character" w:customStyle="1" w:styleId="41">
    <w:name w:val="标题 3 字符"/>
    <w:basedOn w:val="15"/>
    <w:link w:val="4"/>
    <w:qFormat/>
    <w:uiPriority w:val="9"/>
    <w:rPr>
      <w:b/>
      <w:bCs/>
      <w:sz w:val="32"/>
      <w:szCs w:val="32"/>
    </w:rPr>
  </w:style>
  <w:style w:type="paragraph" w:customStyle="1" w:styleId="42">
    <w:name w:val="东海一级标题"/>
    <w:basedOn w:val="43"/>
    <w:qFormat/>
    <w:uiPriority w:val="0"/>
    <w:pPr>
      <w:widowControl/>
      <w:numPr>
        <w:ilvl w:val="0"/>
        <w:numId w:val="5"/>
      </w:numPr>
      <w:spacing w:beforeLines="50" w:afterLines="50" w:line="360" w:lineRule="auto"/>
      <w:ind w:left="1300" w:leftChars="1200" w:hanging="100" w:hangingChars="100"/>
      <w:outlineLvl w:val="0"/>
    </w:pPr>
    <w:rPr>
      <w:rFonts w:ascii="Arial" w:hAnsi="Arial" w:eastAsia="楷体_GB2312" w:cs="Times New Roman"/>
      <w:b/>
      <w:sz w:val="30"/>
      <w:szCs w:val="22"/>
    </w:rPr>
  </w:style>
  <w:style w:type="paragraph" w:styleId="43">
    <w:name w:val="List Paragraph"/>
    <w:basedOn w:val="1"/>
    <w:link w:val="48"/>
    <w:qFormat/>
    <w:uiPriority w:val="34"/>
    <w:pPr>
      <w:ind w:firstLine="420" w:firstLineChars="200"/>
    </w:pPr>
  </w:style>
  <w:style w:type="paragraph" w:customStyle="1" w:styleId="44">
    <w:name w:val="东海二级标题"/>
    <w:basedOn w:val="43"/>
    <w:qFormat/>
    <w:uiPriority w:val="0"/>
    <w:pPr>
      <w:widowControl/>
      <w:numPr>
        <w:ilvl w:val="1"/>
        <w:numId w:val="5"/>
      </w:numPr>
      <w:spacing w:beforeLines="50" w:afterLines="50" w:line="360" w:lineRule="auto"/>
      <w:ind w:left="1380" w:leftChars="1200" w:hanging="180" w:hangingChars="180"/>
      <w:outlineLvl w:val="1"/>
    </w:pPr>
    <w:rPr>
      <w:rFonts w:ascii="Arial" w:hAnsi="Arial" w:eastAsia="楷体_GB2312" w:cs="Times New Roman"/>
      <w:b/>
      <w:sz w:val="28"/>
      <w:szCs w:val="22"/>
    </w:rPr>
  </w:style>
  <w:style w:type="paragraph" w:customStyle="1" w:styleId="45">
    <w:name w:val="东海三级标题"/>
    <w:basedOn w:val="43"/>
    <w:link w:val="46"/>
    <w:qFormat/>
    <w:uiPriority w:val="0"/>
    <w:pPr>
      <w:widowControl/>
      <w:numPr>
        <w:ilvl w:val="2"/>
        <w:numId w:val="5"/>
      </w:numPr>
      <w:spacing w:beforeLines="50" w:afterLines="50" w:line="360" w:lineRule="auto"/>
      <w:ind w:left="1450" w:leftChars="1200" w:hanging="250" w:hangingChars="250"/>
      <w:outlineLvl w:val="2"/>
    </w:pPr>
    <w:rPr>
      <w:rFonts w:ascii="Arial" w:hAnsi="Arial" w:eastAsia="楷体_GB2312" w:cs="Times New Roman"/>
      <w:b/>
      <w:sz w:val="24"/>
      <w:szCs w:val="22"/>
    </w:rPr>
  </w:style>
  <w:style w:type="character" w:customStyle="1" w:styleId="46">
    <w:name w:val="东海三级标题 Char Char"/>
    <w:link w:val="45"/>
    <w:qFormat/>
    <w:uiPriority w:val="0"/>
    <w:rPr>
      <w:rFonts w:ascii="Arial" w:hAnsi="Arial" w:eastAsia="楷体_GB2312" w:cs="Times New Roman"/>
      <w:b/>
      <w:sz w:val="24"/>
      <w:szCs w:val="22"/>
    </w:rPr>
  </w:style>
  <w:style w:type="paragraph" w:customStyle="1" w:styleId="47">
    <w:name w:val="东海摘要标题"/>
    <w:basedOn w:val="43"/>
    <w:qFormat/>
    <w:uiPriority w:val="0"/>
    <w:pPr>
      <w:numPr>
        <w:ilvl w:val="0"/>
        <w:numId w:val="6"/>
      </w:numPr>
      <w:ind w:firstLine="0" w:firstLineChars="0"/>
    </w:pPr>
    <w:rPr>
      <w:rFonts w:ascii="Arial" w:hAnsi="Arial" w:eastAsia="楷体_GB2312" w:cs="Times New Roman"/>
      <w:b/>
      <w:szCs w:val="22"/>
    </w:rPr>
  </w:style>
  <w:style w:type="character" w:customStyle="1" w:styleId="48">
    <w:name w:val="列表段落 字符"/>
    <w:link w:val="43"/>
    <w:qFormat/>
    <w:uiPriority w:val="34"/>
  </w:style>
  <w:style w:type="paragraph" w:customStyle="1" w:styleId="49">
    <w:name w:val="东海报告标题"/>
    <w:basedOn w:val="1"/>
    <w:link w:val="50"/>
    <w:qFormat/>
    <w:uiPriority w:val="0"/>
    <w:pPr>
      <w:ind w:left="4200" w:leftChars="2000"/>
    </w:pPr>
    <w:rPr>
      <w:rFonts w:ascii="Cambria" w:hAnsi="Cambria" w:eastAsia="楷体_GB2312" w:cs="Times New Roman"/>
      <w:b/>
      <w:color w:val="292929"/>
      <w:sz w:val="48"/>
      <w:szCs w:val="48"/>
    </w:rPr>
  </w:style>
  <w:style w:type="character" w:customStyle="1" w:styleId="50">
    <w:name w:val="东海报告标题 Char Char"/>
    <w:link w:val="49"/>
    <w:qFormat/>
    <w:uiPriority w:val="0"/>
    <w:rPr>
      <w:rFonts w:ascii="Cambria" w:hAnsi="Cambria" w:eastAsia="楷体_GB2312" w:cs="Times New Roman"/>
      <w:b/>
      <w:color w:val="292929"/>
      <w:kern w:val="2"/>
      <w:sz w:val="48"/>
      <w:szCs w:val="48"/>
    </w:rPr>
  </w:style>
  <w:style w:type="character" w:customStyle="1" w:styleId="51">
    <w:name w:val="15"/>
    <w:basedOn w:val="15"/>
    <w:qFormat/>
    <w:uiPriority w:val="0"/>
    <w:rPr>
      <w:rFonts w:hint="default" w:ascii="Arial" w:hAnsi="Arial" w:eastAsia="方正兰亭圆简体" w:cs="Arial"/>
      <w:b/>
      <w:bCs/>
      <w:color w:val="000000"/>
      <w:sz w:val="18"/>
      <w:szCs w:val="18"/>
    </w:rPr>
  </w:style>
  <w:style w:type="character" w:customStyle="1" w:styleId="52">
    <w:name w:val="ant-select-tree-switcher"/>
    <w:basedOn w:val="15"/>
    <w:qFormat/>
    <w:uiPriority w:val="0"/>
  </w:style>
  <w:style w:type="character" w:customStyle="1" w:styleId="53">
    <w:name w:val="ant-tree-checkbox2"/>
    <w:basedOn w:val="15"/>
    <w:qFormat/>
    <w:uiPriority w:val="0"/>
  </w:style>
  <w:style w:type="character" w:customStyle="1" w:styleId="54">
    <w:name w:val="ant-tree-iconele2"/>
    <w:basedOn w:val="15"/>
    <w:qFormat/>
    <w:uiPriority w:val="0"/>
  </w:style>
  <w:style w:type="character" w:customStyle="1" w:styleId="55">
    <w:name w:val="ant-typography-ellipsis"/>
    <w:basedOn w:val="15"/>
    <w:qFormat/>
    <w:uiPriority w:val="0"/>
  </w:style>
  <w:style w:type="character" w:customStyle="1" w:styleId="56">
    <w:name w:val="ant-transfer-list-search-action"/>
    <w:basedOn w:val="15"/>
    <w:qFormat/>
    <w:uiPriority w:val="0"/>
  </w:style>
  <w:style w:type="character" w:customStyle="1" w:styleId="57">
    <w:name w:val="ant-select-tree-checkbox2"/>
    <w:basedOn w:val="15"/>
    <w:qFormat/>
    <w:uiPriority w:val="0"/>
  </w:style>
  <w:style w:type="character" w:customStyle="1" w:styleId="58">
    <w:name w:val="ant-radio+*"/>
    <w:basedOn w:val="15"/>
    <w:qFormat/>
    <w:uiPriority w:val="0"/>
  </w:style>
  <w:style w:type="character" w:customStyle="1" w:styleId="59">
    <w:name w:val="ant-select-tree-iconele4"/>
    <w:basedOn w:val="15"/>
    <w:qFormat/>
    <w:uiPriority w:val="0"/>
  </w:style>
  <w:style w:type="character" w:customStyle="1" w:styleId="60">
    <w:name w:val="ant-tree-switcher"/>
    <w:basedOn w:val="15"/>
    <w:qFormat/>
    <w:uiPriority w:val="0"/>
  </w:style>
  <w:style w:type="character" w:customStyle="1" w:styleId="61">
    <w:name w:val="ant-typography-ellipsis-single-line3"/>
    <w:basedOn w:val="15"/>
    <w:qFormat/>
    <w:uiPriority w:val="0"/>
  </w:style>
  <w:style w:type="character" w:customStyle="1" w:styleId="62">
    <w:name w:val="after"/>
    <w:basedOn w:val="15"/>
    <w:qFormat/>
    <w:uiPriority w:val="0"/>
  </w:style>
  <w:style w:type="character" w:customStyle="1" w:styleId="63">
    <w:name w:val="ant-tree-checkbox"/>
    <w:basedOn w:val="15"/>
    <w:qFormat/>
    <w:uiPriority w:val="0"/>
  </w:style>
  <w:style w:type="character" w:customStyle="1" w:styleId="64">
    <w:name w:val="ant-typography-ellipsis1"/>
    <w:basedOn w:val="15"/>
    <w:qFormat/>
    <w:uiPriority w:val="0"/>
  </w:style>
  <w:style w:type="character" w:customStyle="1" w:styleId="65">
    <w:name w:val="ant-typography-ellipsis-single-line2"/>
    <w:basedOn w:val="15"/>
    <w:qFormat/>
    <w:uiPriority w:val="0"/>
  </w:style>
  <w:style w:type="character" w:customStyle="1" w:styleId="66">
    <w:name w:val="ant-select-tree-iconele"/>
    <w:basedOn w:val="15"/>
    <w:qFormat/>
    <w:uiPriority w:val="0"/>
  </w:style>
  <w:style w:type="character" w:customStyle="1" w:styleId="67">
    <w:name w:val="ant-select-tree-switcher2"/>
    <w:basedOn w:val="15"/>
    <w:qFormat/>
    <w:uiPriority w:val="0"/>
  </w:style>
  <w:style w:type="character" w:customStyle="1" w:styleId="68">
    <w:name w:val="ant-transfer-list-search-action2"/>
    <w:basedOn w:val="15"/>
    <w:qFormat/>
    <w:uiPriority w:val="0"/>
  </w:style>
  <w:style w:type="character" w:customStyle="1" w:styleId="69">
    <w:name w:val="ant-tree-switcher2"/>
    <w:basedOn w:val="15"/>
    <w:qFormat/>
    <w:uiPriority w:val="0"/>
  </w:style>
  <w:style w:type="character" w:customStyle="1" w:styleId="70">
    <w:name w:val="ant-typography-ellipsis-single-line"/>
    <w:basedOn w:val="15"/>
    <w:qFormat/>
    <w:uiPriority w:val="0"/>
  </w:style>
  <w:style w:type="character" w:customStyle="1" w:styleId="71">
    <w:name w:val="ant-select-tree-checkbox"/>
    <w:basedOn w:val="15"/>
    <w:qFormat/>
    <w:uiPriority w:val="0"/>
  </w:style>
  <w:style w:type="character" w:customStyle="1" w:styleId="72">
    <w:name w:val="ant-tree-iconele"/>
    <w:basedOn w:val="15"/>
    <w:qFormat/>
    <w:uiPriority w:val="0"/>
  </w:style>
  <w:style w:type="character" w:customStyle="1" w:styleId="73">
    <w:name w:val="ant-typography-ellipsis-single-line1"/>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ink/ink1.xml"/><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ustomXml" Target="ink/ink2.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08T08:45:54"/>
    </inkml:context>
    <inkml:brush xml:id="br0">
      <inkml:brushProperty name="width" value="0.05" units="cm"/>
      <inkml:brushProperty name="height" value="0.05" units="cm"/>
      <inkml:brushProperty name="color" value="#000000"/>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08T08:45:54"/>
    </inkml:context>
    <inkml:brush xml:id="br0">
      <inkml:brushProperty name="width" value="0.05" units="cm"/>
      <inkml:brushProperty name="height" value="0.05" units="cm"/>
      <inkml:brushProperty name="color" value="#000000"/>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0360-A6FC-45CA-B744-C8836EBCC94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5191</Words>
  <Characters>5726</Characters>
  <Lines>40</Lines>
  <Paragraphs>11</Paragraphs>
  <TotalTime>0</TotalTime>
  <ScaleCrop>false</ScaleCrop>
  <LinksUpToDate>false</LinksUpToDate>
  <CharactersWithSpaces>5729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2022-08-05T07:12:00Z</dcterms:created>
  <dc:creator>919063741@qq.com</dc:creator>
  <cp:lastModifiedBy>1</cp:lastModifiedBy>
  <cp:lastPrinted>2022-11-15T08:34:00Z</cp:lastPrinted>
  <dcterms:modified xsi:type="dcterms:W3CDTF">2024-08-09T00:37:57Z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dustryname">
    <vt:lpwstr>石油石化</vt:lpwstr>
  </property>
  <property fmtid="{D5CDD505-2E9C-101B-9397-08002B2CF9AE}" pid="3" name="columnname">
    <vt:lpwstr>行业研究</vt:lpwstr>
  </property>
  <property fmtid="{D5CDD505-2E9C-101B-9397-08002B2CF9AE}" pid="4" name="typename">
    <vt:lpwstr>行业周报</vt:lpwstr>
  </property>
  <property fmtid="{D5CDD505-2E9C-101B-9397-08002B2CF9AE}" pid="5" name="username">
    <vt:lpwstr>admin</vt:lpwstr>
  </property>
  <property fmtid="{D5CDD505-2E9C-101B-9397-08002B2CF9AE}" pid="6" name="scode">
    <vt:lpwstr>股票代码</vt:lpwstr>
  </property>
  <property fmtid="{D5CDD505-2E9C-101B-9397-08002B2CF9AE}" pid="7" name="sname">
    <vt:lpwstr>股票名称</vt:lpwstr>
  </property>
  <property fmtid="{D5CDD505-2E9C-101B-9397-08002B2CF9AE}" pid="8" name="finPrice">
    <vt:lpwstr>XX.XX</vt:lpwstr>
  </property>
  <property fmtid="{D5CDD505-2E9C-101B-9397-08002B2CF9AE}" pid="9" name="KSOProductBuildVer">
    <vt:lpwstr>2052-11.8.2.12085</vt:lpwstr>
  </property>
  <property fmtid="{D5CDD505-2E9C-101B-9397-08002B2CF9AE}" pid="10" name="ICV">
    <vt:lpwstr>D0484D52EFF448F1A2B22E0876529934_13</vt:lpwstr>
  </property>
</Properties>
</file>