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pPr w:leftFromText="180" w:rightFromText="180" w:vertAnchor="text" w:horzAnchor="page" w:tblpX="1099" w:tblpY="-827"/>
        <w:tblOverlap w:val="never"/>
        <w:tblW w:w="1034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977"/>
        <w:gridCol w:w="73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14" w:hRule="atLeast"/>
        </w:trPr>
        <w:tc>
          <w:tcPr>
            <w:tcW w:w="2977" w:type="dxa"/>
            <w:vAlign w:val="center"/>
          </w:tcPr>
          <w:p>
            <w:pPr>
              <w:pStyle w:val="22"/>
              <w:rPr>
                <w:rFonts w:hint="eastAsia" w:ascii="思源黑体" w:hAnsi="思源黑体" w:eastAsia="思源黑体"/>
                <w:b/>
                <w:color w:val="D70C25"/>
                <w:sz w:val="18"/>
                <w:szCs w:val="18"/>
              </w:rPr>
            </w:pPr>
            <w:r>
              <w:rPr>
                <w:rFonts w:hint="eastAsia" w:ascii="思源黑体" w:hAnsi="思源黑体" w:eastAsia="思源黑体"/>
                <w:b/>
                <w:color w:val="D70C25"/>
                <w:sz w:val="18"/>
                <w:szCs w:val="18"/>
              </w:rPr>
              <w:t>投资咨询业务资格：</w:t>
            </w:r>
          </w:p>
          <w:p>
            <w:pPr>
              <w:pStyle w:val="22"/>
              <w:rPr>
                <w:rFonts w:hint="eastAsia" w:ascii="思源黑体" w:hAnsi="思源黑体" w:eastAsia="思源黑体"/>
                <w:b/>
                <w:color w:val="D70C25"/>
                <w:sz w:val="13"/>
                <w:szCs w:val="13"/>
              </w:rPr>
            </w:pPr>
            <w:r>
              <w:rPr>
                <w:rFonts w:ascii="思源黑体" w:hAnsi="思源黑体" w:eastAsia="思源黑体"/>
                <w:b/>
                <w:color w:val="D70C25"/>
                <w:sz w:val="18"/>
                <w:szCs w:val="18"/>
              </w:rPr>
              <w:t>证监许可[2011]1771号</w:t>
            </w:r>
          </w:p>
        </w:tc>
        <w:tc>
          <w:tcPr>
            <w:tcW w:w="7371" w:type="dxa"/>
            <w:vAlign w:val="center"/>
          </w:tcPr>
          <w:p>
            <w:pPr>
              <w:pStyle w:val="22"/>
              <w:jc w:val="right"/>
              <w:rPr>
                <w:rFonts w:hint="eastAsia"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977" w:type="dxa"/>
            <w:vMerge w:val="restart"/>
          </w:tcPr>
          <w:p>
            <w:pPr>
              <w:pStyle w:val="22"/>
              <w:rPr>
                <w:rFonts w:hint="eastAsia" w:ascii="思源黑体" w:hAnsi="思源黑体" w:eastAsia="思源黑体"/>
                <w:b/>
                <w:color w:val="D70C25"/>
                <w:sz w:val="28"/>
              </w:rPr>
            </w:pPr>
            <w:r>
              <w:rPr>
                <w:rFonts w:hint="eastAsia" w:ascii="思源黑体" w:hAnsi="思源黑体" w:eastAsia="思源黑体"/>
                <w:b/>
                <w:color w:val="D70C25"/>
                <w:sz w:val="28"/>
              </w:rPr>
              <w:t>2025年10月9日</w:t>
            </w:r>
          </w:p>
        </w:tc>
        <w:tc>
          <w:tcPr>
            <w:tcW w:w="7371" w:type="dxa"/>
            <w:tcMar>
              <w:top w:w="227" w:type="dxa"/>
            </w:tcMar>
            <w:vAlign w:val="center"/>
          </w:tcPr>
          <w:tbl>
            <w:tblPr>
              <w:tblStyle w:val="14"/>
              <w:tblW w:w="0" w:type="auto"/>
              <w:tblInd w:w="0" w:type="dxa"/>
              <w:tblLayout w:type="fixed"/>
              <w:tblCellMar>
                <w:top w:w="0" w:type="dxa"/>
                <w:left w:w="108" w:type="dxa"/>
                <w:bottom w:w="0" w:type="dxa"/>
                <w:right w:w="108" w:type="dxa"/>
              </w:tblCellMar>
            </w:tblPr>
            <w:tblGrid>
              <w:gridCol w:w="7371"/>
            </w:tblGrid>
            <w:tr>
              <w:tblPrEx>
                <w:tblCellMar>
                  <w:top w:w="0" w:type="dxa"/>
                  <w:left w:w="108" w:type="dxa"/>
                  <w:bottom w:w="0" w:type="dxa"/>
                  <w:right w:w="108" w:type="dxa"/>
                </w:tblCellMar>
              </w:tblPrEx>
              <w:trPr>
                <w:trHeight w:val="23" w:hRule="exact"/>
              </w:trPr>
              <w:tc>
                <w:tcPr>
                  <w:tcW w:w="7371" w:type="dxa"/>
                </w:tcPr>
                <w:p>
                  <w:pPr>
                    <w:pStyle w:val="22"/>
                    <w:rPr>
                      <w:rFonts w:hint="eastAsia" w:ascii="思源黑体" w:hAnsi="思源黑体" w:eastAsia="思源黑体"/>
                    </w:rPr>
                  </w:pPr>
                  <w:r>
                    <w:rPr>
                      <w:rFonts w:hint="eastAsia" w:ascii="思源黑体" w:hAnsi="思源黑体" w:eastAsia="思源黑体"/>
                    </w:rPr>
                    <w:t>[Table_Title]</w:t>
                  </w:r>
                </w:p>
              </w:tc>
            </w:tr>
            <w:tr>
              <w:tblPrEx>
                <w:tblCellMar>
                  <w:top w:w="0" w:type="dxa"/>
                  <w:left w:w="108" w:type="dxa"/>
                  <w:bottom w:w="0" w:type="dxa"/>
                  <w:right w:w="108" w:type="dxa"/>
                </w:tblCellMar>
              </w:tblPrEx>
              <w:tc>
                <w:tcPr>
                  <w:tcW w:w="7371" w:type="dxa"/>
                </w:tcPr>
                <w:p>
                  <w:pPr>
                    <w:pStyle w:val="22"/>
                    <w:spacing w:line="440" w:lineRule="exact"/>
                    <w:jc w:val="center"/>
                    <w:rPr>
                      <w:rFonts w:hint="eastAsia" w:ascii="思源黑体" w:hAnsi="思源黑体" w:eastAsia="思源黑体"/>
                      <w:b/>
                      <w:color w:val="D70C25"/>
                      <w:sz w:val="40"/>
                    </w:rPr>
                  </w:pPr>
                  <w:r>
                    <w:rPr>
                      <w:rFonts w:hint="eastAsia" w:ascii="思源黑体" w:hAnsi="思源黑体" w:eastAsia="思源黑体"/>
                      <w:b/>
                      <w:color w:val="D70C25"/>
                      <w:sz w:val="40"/>
                    </w:rPr>
                    <w:t>进口预期收紧，需求可期</w:t>
                  </w:r>
                </w:p>
              </w:tc>
            </w:tr>
          </w:tbl>
          <w:p>
            <w:pPr>
              <w:pStyle w:val="22"/>
              <w:rPr>
                <w:rFonts w:hint="eastAsia"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6" w:hRule="exact"/>
        </w:trPr>
        <w:tc>
          <w:tcPr>
            <w:tcW w:w="2977" w:type="dxa"/>
            <w:vMerge w:val="continue"/>
            <w:vAlign w:val="center"/>
          </w:tcPr>
          <w:p>
            <w:pPr>
              <w:pStyle w:val="22"/>
              <w:jc w:val="right"/>
              <w:rPr>
                <w:rFonts w:hint="eastAsia" w:ascii="思源黑体" w:hAnsi="思源黑体" w:eastAsia="思源黑体"/>
              </w:rPr>
            </w:pPr>
          </w:p>
        </w:tc>
        <w:tc>
          <w:tcPr>
            <w:tcW w:w="7371" w:type="dxa"/>
            <w:vAlign w:val="center"/>
          </w:tcPr>
          <w:p>
            <w:pPr>
              <w:pStyle w:val="22"/>
              <w:spacing w:line="360" w:lineRule="exact"/>
              <w:jc w:val="right"/>
              <w:rPr>
                <w:rFonts w:hint="default" w:ascii="思源黑体" w:hAnsi="思源黑体" w:eastAsia="思源黑体"/>
                <w:sz w:val="28"/>
                <w:szCs w:val="28"/>
                <w:lang w:val="en-US" w:eastAsia="zh-CN"/>
              </w:rPr>
            </w:pPr>
            <w:r>
              <w:rPr>
                <w:rFonts w:hint="eastAsia" w:ascii="思源黑体" w:hAnsi="思源黑体" w:eastAsia="思源黑体"/>
                <w:sz w:val="28"/>
                <w:szCs w:val="28"/>
                <w:lang w:eastAsia="zh-CN"/>
              </w:rPr>
              <w:t>——</w:t>
            </w:r>
            <w:r>
              <w:rPr>
                <w:rFonts w:hint="eastAsia" w:ascii="思源黑体" w:hAnsi="思源黑体" w:eastAsia="思源黑体"/>
                <w:sz w:val="28"/>
                <w:szCs w:val="28"/>
                <w:lang w:val="en-US" w:eastAsia="zh-CN"/>
              </w:rPr>
              <w:t>甲醇四季度投资策略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024" w:hRule="atLeast"/>
        </w:trPr>
        <w:tc>
          <w:tcPr>
            <w:tcW w:w="2977" w:type="dxa"/>
          </w:tcPr>
          <w:tbl>
            <w:tblPr>
              <w:tblStyle w:val="14"/>
              <w:tblW w:w="2835" w:type="dxa"/>
              <w:tblInd w:w="0" w:type="dxa"/>
              <w:tblLayout w:type="fixed"/>
              <w:tblCellMar>
                <w:top w:w="0" w:type="dxa"/>
                <w:left w:w="108" w:type="dxa"/>
                <w:bottom w:w="0" w:type="dxa"/>
                <w:right w:w="108" w:type="dxa"/>
              </w:tblCellMar>
            </w:tblPr>
            <w:tblGrid>
              <w:gridCol w:w="2835"/>
            </w:tblGrid>
            <w:tr>
              <w:tblPrEx>
                <w:tblCellMar>
                  <w:top w:w="0" w:type="dxa"/>
                  <w:left w:w="108" w:type="dxa"/>
                  <w:bottom w:w="0" w:type="dxa"/>
                  <w:right w:w="108" w:type="dxa"/>
                </w:tblCellMar>
              </w:tblPrEx>
              <w:trPr>
                <w:trHeight w:val="6243" w:hRule="atLeast"/>
              </w:trPr>
              <w:tc>
                <w:tcPr>
                  <w:tcW w:w="2835" w:type="dxa"/>
                </w:tcPr>
                <w:tbl>
                  <w:tblPr>
                    <w:tblStyle w:val="15"/>
                    <w:tblW w:w="28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vAlign w:val="center"/>
                      </w:tcPr>
                      <w:p>
                        <w:pPr>
                          <w:pStyle w:val="24"/>
                          <w:rPr>
                            <w:rFonts w:hint="eastAsia" w:ascii="思源黑体" w:hAnsi="思源黑体" w:eastAsia="思源黑体"/>
                          </w:rPr>
                        </w:pPr>
                      </w:p>
                      <w:p>
                        <w:pPr>
                          <w:pStyle w:val="24"/>
                          <w:rPr>
                            <w:rFonts w:hint="eastAsia" w:ascii="思源黑体" w:hAnsi="思源黑体" w:eastAsia="思源黑体"/>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pStyle w:val="25"/>
                          <w:rPr>
                            <w:rFonts w:hint="eastAsia" w:ascii="思源黑体" w:hAnsi="思源黑体" w:eastAsia="思源黑体"/>
                            <w:b/>
                            <w:color w:val="D70C25"/>
                          </w:rPr>
                        </w:pPr>
                        <w:r>
                          <w:rPr>
                            <w:rFonts w:hint="eastAsia" w:ascii="思源黑体" w:hAnsi="思源黑体" w:eastAsia="思源黑体"/>
                            <w:b/>
                            <w:bCs/>
                            <w:color w:val="C00000"/>
                          </w:rPr>
                          <w:t>分析师</w:t>
                        </w:r>
                        <w:r>
                          <w:rPr>
                            <w:rFonts w:hint="eastAsia" w:ascii="思源黑体" w:hAnsi="思源黑体" w:eastAsia="思源黑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pStyle w:val="25"/>
                          <w:rPr>
                            <w:rFonts w:hint="eastAsia" w:ascii="思源黑体" w:hAnsi="思源黑体" w:eastAsia="思源黑体"/>
                            <w:b/>
                            <w:bCs/>
                          </w:rPr>
                        </w:pPr>
                        <w:r>
                          <w:rPr>
                            <w:rFonts w:hint="eastAsia" w:ascii="思源黑体" w:hAnsi="思源黑体" w:eastAsia="思源黑体"/>
                            <w:b/>
                            <w:bCs/>
                          </w:rPr>
                          <w:t>冯冰</w:t>
                        </w:r>
                      </w:p>
                      <w:p>
                        <w:pPr>
                          <w:pStyle w:val="25"/>
                          <w:rPr>
                            <w:rFonts w:hint="eastAsia" w:ascii="思源黑体" w:hAnsi="思源黑体" w:eastAsia="思源黑体" w:cs="Arial"/>
                            <w:bCs/>
                            <w:color w:val="000000"/>
                            <w:szCs w:val="18"/>
                          </w:rPr>
                        </w:pPr>
                        <w:r>
                          <w:rPr>
                            <w:rFonts w:hint="eastAsia" w:ascii="思源黑体" w:hAnsi="思源黑体" w:eastAsia="思源黑体" w:cs="Arial"/>
                            <w:bCs/>
                            <w:color w:val="000000"/>
                            <w:szCs w:val="18"/>
                          </w:rPr>
                          <w:t>从业资格证号：F30</w:t>
                        </w:r>
                        <w:r>
                          <w:rPr>
                            <w:rFonts w:ascii="思源黑体" w:hAnsi="思源黑体" w:eastAsia="思源黑体" w:cs="Arial"/>
                            <w:bCs/>
                            <w:color w:val="000000"/>
                            <w:szCs w:val="18"/>
                          </w:rPr>
                          <w:t>77183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35" w:type="dxa"/>
                      </w:tcPr>
                      <w:p>
                        <w:pPr>
                          <w:pStyle w:val="24"/>
                          <w:rPr>
                            <w:rFonts w:hint="eastAsia" w:ascii="思源黑体" w:hAnsi="思源黑体" w:eastAsia="思源黑体" w:cs="Arial"/>
                            <w:b w:val="0"/>
                            <w:bCs/>
                            <w:color w:val="000000"/>
                            <w:szCs w:val="18"/>
                          </w:rPr>
                        </w:pPr>
                        <w:r>
                          <w:rPr>
                            <w:rFonts w:hint="eastAsia" w:ascii="思源黑体" w:hAnsi="思源黑体" w:eastAsia="思源黑体" w:cs="Arial"/>
                            <w:b w:val="0"/>
                            <w:bCs/>
                            <w:color w:val="000000"/>
                            <w:szCs w:val="18"/>
                          </w:rPr>
                          <w:t>投资咨询证号：Z001</w:t>
                        </w:r>
                        <w:r>
                          <w:rPr>
                            <w:rFonts w:ascii="思源黑体" w:hAnsi="思源黑体" w:eastAsia="思源黑体" w:cs="Arial"/>
                            <w:b w:val="0"/>
                            <w:bCs/>
                            <w:color w:val="000000"/>
                            <w:szCs w:val="18"/>
                          </w:rPr>
                          <w:t>6121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pStyle w:val="25"/>
                          <w:rPr>
                            <w:rFonts w:hint="eastAsia" w:ascii="思源黑体" w:hAnsi="思源黑体" w:eastAsia="思源黑体"/>
                          </w:rPr>
                        </w:pPr>
                        <w:r>
                          <w:rPr>
                            <w:rFonts w:hint="eastAsia" w:ascii="思源黑体" w:hAnsi="思源黑体" w:eastAsia="思源黑体" w:cs="Arial"/>
                            <w:color w:val="000000"/>
                            <w:szCs w:val="18"/>
                          </w:rPr>
                          <w:t>电话：021-68757092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spacing w:line="280" w:lineRule="exact"/>
                          <w:jc w:val="left"/>
                          <w:rPr>
                            <w:rFonts w:hint="eastAsia" w:ascii="思源黑体" w:hAnsi="思源黑体" w:eastAsia="思源黑体" w:cs="Arial"/>
                            <w:color w:val="000000"/>
                            <w:sz w:val="18"/>
                            <w:szCs w:val="18"/>
                          </w:rPr>
                        </w:pPr>
                        <w:r>
                          <w:rPr>
                            <w:rFonts w:hint="eastAsia" w:ascii="思源黑体" w:hAnsi="思源黑体" w:eastAsia="思源黑体" w:cs="Arial"/>
                            <w:color w:val="000000"/>
                            <w:sz w:val="18"/>
                            <w:szCs w:val="18"/>
                          </w:rPr>
                          <w:t>邮箱：</w:t>
                        </w:r>
                        <w:r>
                          <w:rPr>
                            <w:rFonts w:ascii="思源黑体" w:hAnsi="思源黑体" w:eastAsia="思源黑体" w:cs="Arial"/>
                            <w:color w:val="000000"/>
                            <w:sz w:val="18"/>
                            <w:szCs w:val="18"/>
                          </w:rPr>
                          <w:t>fengb</w:t>
                        </w:r>
                        <w:r>
                          <w:rPr>
                            <w:rFonts w:hint="eastAsia" w:ascii="思源黑体" w:hAnsi="思源黑体" w:eastAsia="思源黑体" w:cs="Arial"/>
                            <w:color w:val="000000"/>
                            <w:sz w:val="18"/>
                            <w:szCs w:val="18"/>
                          </w:rPr>
                          <w:t>@qh168.com.cn</w:t>
                        </w:r>
                      </w:p>
                      <w:p>
                        <w:pPr>
                          <w:spacing w:line="280" w:lineRule="exact"/>
                          <w:ind w:left="105" w:leftChars="50"/>
                          <w:jc w:val="left"/>
                          <w:rPr>
                            <w:rFonts w:hint="eastAsia" w:ascii="思源黑体" w:hAnsi="思源黑体" w:eastAsia="思源黑体" w:cs="Arial"/>
                            <w:b/>
                            <w:color w:val="000000"/>
                            <w:sz w:val="18"/>
                            <w:szCs w:val="18"/>
                          </w:rPr>
                        </w:pPr>
                      </w:p>
                      <w:p>
                        <w:pPr>
                          <w:pStyle w:val="25"/>
                          <w:rPr>
                            <w:rFonts w:hint="eastAsia" w:ascii="思源黑体" w:hAnsi="思源黑体" w:eastAsia="思源黑体" w:cs="Arial"/>
                            <w:color w:val="000000"/>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spacing w:line="280" w:lineRule="exact"/>
                          <w:jc w:val="left"/>
                          <w:rPr>
                            <w:rFonts w:hint="eastAsia" w:ascii="思源黑体" w:hAnsi="思源黑体" w:eastAsia="思源黑体" w:cs="Arial"/>
                            <w:b/>
                            <w:bCs/>
                            <w:color w:val="000000"/>
                            <w:sz w:val="18"/>
                            <w:szCs w:val="18"/>
                          </w:rPr>
                        </w:pPr>
                        <w:r>
                          <w:rPr>
                            <w:rFonts w:hint="eastAsia" w:ascii="思源黑体" w:hAnsi="思源黑体" w:eastAsia="思源黑体"/>
                            <w:b/>
                            <w:bCs/>
                            <w:color w:val="C00000"/>
                            <w:sz w:val="18"/>
                            <w:szCs w:val="18"/>
                          </w:rPr>
                          <w:t>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35" w:type="dxa"/>
                      </w:tcPr>
                      <w:p>
                        <w:pPr>
                          <w:spacing w:line="280" w:lineRule="exact"/>
                          <w:jc w:val="left"/>
                          <w:rPr>
                            <w:rFonts w:hint="eastAsia" w:ascii="思源黑体" w:hAnsi="思源黑体" w:eastAsia="思源黑体"/>
                            <w:sz w:val="18"/>
                            <w:szCs w:val="18"/>
                          </w:rPr>
                        </w:pPr>
                        <w:r>
                          <w:rPr>
                            <w:rFonts w:hint="eastAsia" w:ascii="思源黑体" w:hAnsi="思源黑体" w:eastAsia="思源黑体"/>
                            <w:b/>
                            <w:bCs/>
                            <w:sz w:val="18"/>
                            <w:szCs w:val="18"/>
                          </w:rPr>
                          <w:t>王亦路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spacing w:line="280" w:lineRule="exact"/>
                          <w:jc w:val="left"/>
                          <w:rPr>
                            <w:rFonts w:hint="eastAsia" w:ascii="思源黑体" w:hAnsi="思源黑体" w:eastAsia="思源黑体" w:cs="Arial"/>
                            <w:bCs/>
                            <w:color w:val="000000"/>
                            <w:sz w:val="18"/>
                            <w:szCs w:val="18"/>
                          </w:rPr>
                        </w:pPr>
                        <w:r>
                          <w:rPr>
                            <w:rFonts w:hint="eastAsia" w:ascii="思源黑体" w:hAnsi="思源黑体" w:eastAsia="思源黑体" w:cs="Arial"/>
                            <w:bCs/>
                            <w:color w:val="000000"/>
                            <w:sz w:val="18"/>
                            <w:szCs w:val="18"/>
                          </w:rPr>
                          <w:t>从业资格证号：</w:t>
                        </w:r>
                        <w:r>
                          <w:rPr>
                            <w:rFonts w:ascii="思源黑体" w:hAnsi="思源黑体" w:eastAsia="思源黑体" w:cs="Arial"/>
                            <w:bCs/>
                            <w:color w:val="000000"/>
                            <w:sz w:val="18"/>
                            <w:szCs w:val="18"/>
                          </w:rPr>
                          <w:t>F03089928</w:t>
                        </w:r>
                      </w:p>
                      <w:p>
                        <w:pPr>
                          <w:pStyle w:val="25"/>
                          <w:rPr>
                            <w:rFonts w:hint="eastAsia" w:ascii="思源黑体" w:hAnsi="思源黑体" w:eastAsia="思源黑体"/>
                          </w:rPr>
                        </w:pPr>
                        <w:r>
                          <w:rPr>
                            <w:rFonts w:hint="eastAsia" w:ascii="思源黑体" w:hAnsi="思源黑体" w:eastAsia="思源黑体" w:cs="Arial"/>
                            <w:bCs/>
                            <w:color w:val="000000"/>
                            <w:szCs w:val="18"/>
                          </w:rPr>
                          <w:t>投资咨询证号：Z001</w:t>
                        </w:r>
                        <w:r>
                          <w:rPr>
                            <w:rFonts w:ascii="思源黑体" w:hAnsi="思源黑体" w:eastAsia="思源黑体" w:cs="Arial"/>
                            <w:bCs/>
                            <w:color w:val="000000"/>
                            <w:szCs w:val="18"/>
                          </w:rPr>
                          <w:t>9740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spacing w:line="280" w:lineRule="exact"/>
                          <w:jc w:val="left"/>
                          <w:rPr>
                            <w:rFonts w:hint="eastAsia" w:ascii="思源黑体" w:hAnsi="思源黑体" w:eastAsia="思源黑体" w:cs="Arial"/>
                            <w:bCs/>
                            <w:color w:val="000000"/>
                            <w:sz w:val="18"/>
                            <w:szCs w:val="18"/>
                          </w:rPr>
                        </w:pPr>
                        <w:r>
                          <w:rPr>
                            <w:rFonts w:hint="eastAsia" w:ascii="思源黑体" w:hAnsi="思源黑体" w:eastAsia="思源黑体" w:cs="Arial"/>
                            <w:bCs/>
                            <w:color w:val="000000"/>
                            <w:sz w:val="18"/>
                            <w:szCs w:val="18"/>
                          </w:rPr>
                          <w:t>电话：</w:t>
                        </w:r>
                        <w:r>
                          <w:rPr>
                            <w:rFonts w:ascii="思源黑体" w:hAnsi="思源黑体" w:eastAsia="思源黑体" w:cs="Arial"/>
                            <w:bCs/>
                            <w:color w:val="000000"/>
                            <w:sz w:val="18"/>
                            <w:szCs w:val="18"/>
                          </w:rPr>
                          <w:t>021-</w:t>
                        </w:r>
                        <w:r>
                          <w:rPr>
                            <w:rFonts w:hint="eastAsia" w:ascii="思源黑体" w:hAnsi="思源黑体" w:eastAsia="思源黑体" w:cs="Arial"/>
                            <w:bCs/>
                            <w:color w:val="000000"/>
                            <w:sz w:val="18"/>
                            <w:szCs w:val="18"/>
                          </w:rPr>
                          <w:t>68757092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spacing w:line="280" w:lineRule="exact"/>
                          <w:jc w:val="left"/>
                          <w:rPr>
                            <w:rFonts w:hint="eastAsia" w:ascii="思源黑体" w:hAnsi="思源黑体" w:eastAsia="思源黑体" w:cs="Arial"/>
                            <w:bCs/>
                            <w:color w:val="000000"/>
                            <w:sz w:val="18"/>
                            <w:szCs w:val="18"/>
                          </w:rPr>
                        </w:pPr>
                        <w:r>
                          <w:rPr>
                            <w:rFonts w:hint="eastAsia" w:ascii="思源黑体" w:hAnsi="思源黑体" w:eastAsia="思源黑体" w:cs="Arial"/>
                            <w:bCs/>
                            <w:color w:val="000000"/>
                            <w:sz w:val="18"/>
                            <w:szCs w:val="18"/>
                          </w:rPr>
                          <w:t>邮箱：</w:t>
                        </w:r>
                        <w:r>
                          <w:rPr>
                            <w:rFonts w:ascii="思源黑体" w:hAnsi="思源黑体" w:eastAsia="思源黑体" w:cs="Arial"/>
                            <w:bCs/>
                            <w:color w:val="000000"/>
                            <w:sz w:val="18"/>
                            <w:szCs w:val="18"/>
                          </w:rPr>
                          <w:t>wangyl</w:t>
                        </w:r>
                        <w:r>
                          <w:rPr>
                            <w:rFonts w:hint="eastAsia" w:ascii="思源黑体" w:hAnsi="思源黑体" w:eastAsia="思源黑体" w:cs="Arial"/>
                            <w:bCs/>
                            <w:color w:val="000000"/>
                            <w:sz w:val="18"/>
                            <w:szCs w:val="18"/>
                          </w:rPr>
                          <w:t>@qh168.com.cn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35" w:type="dxa"/>
                      </w:tcPr>
                      <w:p>
                        <w:pPr>
                          <w:spacing w:line="280" w:lineRule="exact"/>
                          <w:jc w:val="left"/>
                          <w:rPr>
                            <w:rFonts w:hint="eastAsia" w:ascii="思源黑体" w:hAnsi="思源黑体" w:eastAsia="思源黑体" w:cs="Arial"/>
                            <w:bCs/>
                            <w:color w:val="00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spacing w:line="280" w:lineRule="exact"/>
                          <w:jc w:val="left"/>
                          <w:rPr>
                            <w:rFonts w:hint="eastAsia" w:ascii="思源黑体" w:hAnsi="思源黑体" w:eastAsia="思源黑体" w:cs="Arial"/>
                            <w:bCs/>
                            <w:color w:val="00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5" w:type="dxa"/>
                      </w:tcPr>
                      <w:p>
                        <w:pPr>
                          <w:pStyle w:val="25"/>
                          <w:rPr>
                            <w:rFonts w:hint="eastAsia" w:ascii="思源黑体" w:hAnsi="思源黑体" w:eastAsia="思源黑体" w:cs="Arial"/>
                            <w:bCs/>
                            <w:color w:val="000000"/>
                          </w:rPr>
                        </w:pPr>
                      </w:p>
                    </w:tc>
                  </w:tr>
                </w:tbl>
                <w:p>
                  <w:pPr>
                    <w:pStyle w:val="22"/>
                    <w:rPr>
                      <w:rFonts w:hint="eastAsia" w:ascii="思源黑体" w:hAnsi="思源黑体" w:eastAsia="思源黑体"/>
                    </w:rPr>
                  </w:pPr>
                </w:p>
              </w:tc>
            </w:tr>
            <w:tr>
              <w:tblPrEx>
                <w:tblCellMar>
                  <w:top w:w="0" w:type="dxa"/>
                  <w:left w:w="108" w:type="dxa"/>
                  <w:bottom w:w="0" w:type="dxa"/>
                  <w:right w:w="108" w:type="dxa"/>
                </w:tblCellMar>
              </w:tblPrEx>
              <w:tc>
                <w:tcPr>
                  <w:tcW w:w="2835" w:type="dxa"/>
                </w:tcPr>
                <w:p>
                  <w:pPr>
                    <w:pStyle w:val="22"/>
                    <w:rPr>
                      <w:rFonts w:hint="eastAsia" w:ascii="思源黑体" w:hAnsi="思源黑体" w:eastAsia="思源黑体"/>
                    </w:rPr>
                  </w:pPr>
                </w:p>
              </w:tc>
            </w:tr>
            <w:tr>
              <w:tblPrEx>
                <w:tblCellMar>
                  <w:top w:w="0" w:type="dxa"/>
                  <w:left w:w="108" w:type="dxa"/>
                  <w:bottom w:w="0" w:type="dxa"/>
                  <w:right w:w="108" w:type="dxa"/>
                </w:tblCellMar>
              </w:tblPrEx>
              <w:tc>
                <w:tcPr>
                  <w:tcW w:w="2835" w:type="dxa"/>
                </w:tcPr>
                <w:tbl>
                  <w:tblPr>
                    <w:tblStyle w:val="15"/>
                    <w:tblW w:w="283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 w:hRule="exact"/>
                    </w:trPr>
                    <w:tc>
                      <w:tcPr>
                        <w:tcW w:w="2835" w:type="dxa"/>
                        <w:vAlign w:val="center"/>
                      </w:tcPr>
                      <w:p>
                        <w:pPr>
                          <w:pStyle w:val="22"/>
                          <w:rPr>
                            <w:rFonts w:hint="eastAsia" w:ascii="思源黑体" w:hAnsi="思源黑体" w:eastAsia="思源黑体"/>
                          </w:rPr>
                        </w:pPr>
                        <w:r>
                          <w:rPr>
                            <w:rFonts w:hint="eastAsia" w:ascii="思源黑体" w:hAnsi="思源黑体" w:eastAsia="思源黑体"/>
                          </w:rPr>
                          <w:t>[Table_Report]</w:t>
                        </w:r>
                      </w:p>
                    </w:tc>
                  </w:tr>
                </w:tbl>
                <w:p>
                  <w:pPr>
                    <w:pStyle w:val="22"/>
                    <w:rPr>
                      <w:rFonts w:hint="eastAsia" w:ascii="思源黑体" w:hAnsi="思源黑体" w:eastAsia="思源黑体"/>
                    </w:rPr>
                  </w:pPr>
                </w:p>
              </w:tc>
            </w:tr>
          </w:tbl>
          <w:p>
            <w:pPr>
              <w:pStyle w:val="22"/>
              <w:rPr>
                <w:rFonts w:hint="eastAsia" w:ascii="思源黑体" w:hAnsi="思源黑体" w:eastAsia="思源黑体"/>
              </w:rPr>
            </w:pPr>
          </w:p>
        </w:tc>
        <w:tc>
          <w:tcPr>
            <w:tcW w:w="7371" w:type="dxa"/>
          </w:tcPr>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0" w:type="dxa"/>
              </w:tblCellMar>
            </w:tblPr>
            <w:tblGrid>
              <w:gridCol w:w="7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0" w:type="dxa"/>
                </w:tblCellMar>
              </w:tblPrEx>
              <w:trPr>
                <w:trHeight w:val="23" w:hRule="exact"/>
              </w:trPr>
              <w:tc>
                <w:tcPr>
                  <w:tcW w:w="7361" w:type="dxa"/>
                  <w:vAlign w:val="center"/>
                </w:tcPr>
                <w:p>
                  <w:pPr>
                    <w:pStyle w:val="22"/>
                    <w:rPr>
                      <w:rFonts w:hint="eastAsia" w:ascii="思源黑体" w:hAnsi="思源黑体" w:eastAsia="思源黑体"/>
                    </w:rPr>
                  </w:pPr>
                  <w:r>
                    <w:rPr>
                      <w:rFonts w:hint="eastAsia" w:ascii="思源黑体" w:hAnsi="思源黑体" w:eastAsia="思源黑体"/>
                    </w:rPr>
                    <w:t>[table_main]</w:t>
                  </w:r>
                </w:p>
              </w:tc>
            </w:tr>
          </w:tbl>
          <w:p>
            <w:pPr>
              <w:pStyle w:val="21"/>
              <w:numPr>
                <w:ilvl w:val="0"/>
                <w:numId w:val="6"/>
              </w:numPr>
              <w:spacing w:after="156"/>
              <w:ind w:left="272" w:hanging="272"/>
            </w:pPr>
            <w:r>
              <w:rPr>
                <w:rFonts w:hint="eastAsia"/>
                <w:b/>
                <w:bCs/>
              </w:rPr>
              <w:t>供应宽松：</w:t>
            </w:r>
            <w:r>
              <w:rPr>
                <w:rFonts w:hint="eastAsia"/>
              </w:rPr>
              <w:t>国内甲醇产量先降后升，全季产量环比下降约3%，四季度国内检修装置重启后产量预计回升，但需关注冬季限气对供应的制约势。</w:t>
            </w:r>
          </w:p>
          <w:p>
            <w:pPr>
              <w:pStyle w:val="21"/>
              <w:numPr>
                <w:ilvl w:val="0"/>
                <w:numId w:val="6"/>
              </w:numPr>
              <w:spacing w:after="156"/>
              <w:ind w:left="272" w:hanging="272"/>
            </w:pPr>
            <w:r>
              <w:rPr>
                <w:rFonts w:hint="eastAsia"/>
                <w:b/>
                <w:bCs/>
              </w:rPr>
              <w:t>进口预期收紧</w:t>
            </w:r>
            <w:r>
              <w:rPr>
                <w:rFonts w:hint="eastAsia"/>
              </w:rPr>
              <w:t>： 2025年三季度进口约430万吨，环比二季度330万吨上涨100万吨左右。四季度在装置检修和限气共同</w:t>
            </w:r>
            <w:bookmarkStart w:id="37" w:name="_GoBack"/>
            <w:bookmarkEnd w:id="37"/>
            <w:r>
              <w:rPr>
                <w:rFonts w:hint="eastAsia"/>
              </w:rPr>
              <w:t>影响下，进口预计下滑</w:t>
            </w:r>
          </w:p>
          <w:p>
            <w:pPr>
              <w:pStyle w:val="21"/>
              <w:numPr>
                <w:ilvl w:val="0"/>
                <w:numId w:val="6"/>
              </w:numPr>
              <w:spacing w:after="156"/>
              <w:ind w:left="272" w:hanging="272"/>
            </w:pPr>
            <w:r>
              <w:rPr>
                <w:b/>
                <w:bCs/>
              </w:rPr>
              <w:t>需求</w:t>
            </w:r>
            <w:r>
              <w:rPr>
                <w:rFonts w:hint="eastAsia"/>
                <w:b/>
                <w:bCs/>
              </w:rPr>
              <w:t>难有大幅增长</w:t>
            </w:r>
            <w:r>
              <w:rPr>
                <w:b/>
                <w:bCs/>
              </w:rPr>
              <w:t>：</w:t>
            </w:r>
            <w:r>
              <w:rPr>
                <w:rFonts w:hint="eastAsia"/>
              </w:rPr>
              <w:t>三季度</w:t>
            </w:r>
            <w:r>
              <w:t>下游传统行业处于淡季，开工率持续低负荷；烯烃装置因利润不佳且部分停车，整体需求支撑有限</w:t>
            </w:r>
            <w:r>
              <w:rPr>
                <w:rFonts w:hint="eastAsia"/>
              </w:rPr>
              <w:t>，</w:t>
            </w:r>
            <w:r>
              <w:t>传统下游步入“银十”旺季，且山东联泓100万吨MTO新装置投产将带来增量外采需求，但存量需求仍受利润因素抑制</w:t>
            </w:r>
          </w:p>
          <w:p>
            <w:pPr>
              <w:pStyle w:val="21"/>
              <w:numPr>
                <w:ilvl w:val="0"/>
                <w:numId w:val="6"/>
              </w:numPr>
              <w:spacing w:after="156"/>
              <w:ind w:left="272" w:hanging="272"/>
            </w:pPr>
            <w:r>
              <w:rPr>
                <w:rFonts w:hint="eastAsia"/>
                <w:b/>
                <w:bCs/>
              </w:rPr>
              <w:t>库存压力有望缓解：</w:t>
            </w:r>
            <w:r>
              <w:rPr>
                <w:rFonts w:hint="eastAsia"/>
              </w:rPr>
              <w:t>三季度库存上涨80万吨，四季度</w:t>
            </w:r>
            <w:r>
              <w:t>随着进口减少及MTO需求释放，港口库存压力有望自11月起逐步缓解</w:t>
            </w:r>
          </w:p>
          <w:p>
            <w:pPr>
              <w:pStyle w:val="21"/>
              <w:numPr>
                <w:ilvl w:val="0"/>
                <w:numId w:val="6"/>
              </w:numPr>
              <w:spacing w:after="156"/>
            </w:pPr>
            <w:r>
              <w:rPr>
                <w:rFonts w:hint="eastAsia"/>
                <w:b/>
                <w:bCs/>
              </w:rPr>
              <w:t>总结：</w:t>
            </w:r>
            <w:r>
              <w:rPr>
                <w:rFonts w:hint="eastAsia"/>
              </w:rPr>
              <w:t>展望四季度，供应端预计将逐步恢复，但需关注冬季限气政策可能带来的制约；进口量受国际装置运行状况影响，预期出现收紧态势。需求端新增大型MTO装置计划投产，将带来新的需求增长点。在进口减少与新增需求的共同作用下，港口库存压力预计将逐步缓解。成本方面，冬季用煤旺季将继续为甲醇价格提供底部支撑。总体来看，四季度甲醇市场在进口收紧与新增需求的共同推动下，供需格局有望改善，库存压力将得到缓解，价格重心预计震荡上移，但需密切关注需求端的实际兑现情况。</w:t>
            </w:r>
          </w:p>
          <w:p>
            <w:pPr>
              <w:pStyle w:val="21"/>
              <w:numPr>
                <w:ilvl w:val="0"/>
                <w:numId w:val="6"/>
              </w:numPr>
              <w:spacing w:after="156"/>
            </w:pPr>
            <w:r>
              <w:rPr>
                <w:rFonts w:hint="eastAsia"/>
                <w:b/>
                <w:bCs/>
              </w:rPr>
              <w:t>操作建议：</w:t>
            </w:r>
            <w:r>
              <w:rPr>
                <w:rFonts w:hint="eastAsia"/>
              </w:rPr>
              <w:t xml:space="preserve"> MA2601震荡区间逢低多</w:t>
            </w:r>
          </w:p>
          <w:p>
            <w:pPr>
              <w:pStyle w:val="21"/>
              <w:numPr>
                <w:ilvl w:val="0"/>
                <w:numId w:val="6"/>
              </w:numPr>
              <w:spacing w:after="156"/>
            </w:pPr>
            <w:r>
              <w:rPr>
                <w:rFonts w:hint="eastAsia"/>
                <w:b/>
                <w:bCs/>
              </w:rPr>
              <w:t>风险：</w:t>
            </w:r>
            <w:r>
              <w:rPr>
                <w:rFonts w:hint="eastAsia"/>
              </w:rPr>
              <w:t xml:space="preserve"> MTO开工，进口，上游装置。宏观、原油、关税、政策风险等</w:t>
            </w:r>
          </w:p>
        </w:tc>
      </w:tr>
    </w:tbl>
    <w:p>
      <w:pPr>
        <w:pStyle w:val="22"/>
        <w:rPr>
          <w:rFonts w:hint="eastAsia" w:ascii="思源黑体" w:hAnsi="思源黑体" w:eastAsia="思源黑体"/>
          <w:b/>
          <w:color w:val="D70C25"/>
          <w:sz w:val="18"/>
          <w:szCs w:val="18"/>
        </w:rPr>
      </w:pPr>
    </w:p>
    <w:p>
      <w:pPr>
        <w:pStyle w:val="22"/>
        <w:spacing w:line="14" w:lineRule="exact"/>
        <w:rPr>
          <w:rFonts w:hint="eastAsia" w:ascii="思源黑体" w:hAnsi="思源黑体" w:eastAsia="思源黑体"/>
        </w:rPr>
        <w:sectPr>
          <w:headerReference r:id="rId4" w:type="first"/>
          <w:footerReference r:id="rId6" w:type="first"/>
          <w:headerReference r:id="rId3" w:type="default"/>
          <w:footerReference r:id="rId5" w:type="default"/>
          <w:pgSz w:w="11906" w:h="16838"/>
          <w:pgMar w:top="57" w:right="454" w:bottom="851" w:left="1247" w:header="851" w:footer="851" w:gutter="0"/>
          <w:cols w:space="425" w:num="1"/>
          <w:titlePg/>
          <w:docGrid w:type="lines" w:linePitch="312" w:charSpace="0"/>
        </w:sectPr>
      </w:pPr>
    </w:p>
    <w:p>
      <w:pPr>
        <w:pStyle w:val="22"/>
        <w:jc w:val="center"/>
        <w:rPr>
          <w:rFonts w:hint="eastAsia" w:ascii="思源黑体" w:hAnsi="思源黑体" w:eastAsia="思源黑体"/>
          <w:b/>
          <w:color w:val="D70C25"/>
          <w:sz w:val="36"/>
          <w:szCs w:val="36"/>
        </w:rPr>
      </w:pPr>
      <w:r>
        <w:rPr>
          <w:rFonts w:hint="eastAsia" w:ascii="思源黑体" w:hAnsi="思源黑体" w:eastAsia="思源黑体"/>
          <w:b/>
          <w:color w:val="D70C25"/>
          <w:sz w:val="36"/>
          <w:szCs w:val="36"/>
        </w:rPr>
        <w:t>正文目录</w:t>
      </w:r>
    </w:p>
    <w:p>
      <w:pPr>
        <w:pStyle w:val="9"/>
        <w:tabs>
          <w:tab w:val="right" w:leader="dot" w:pos="8504"/>
          <w:tab w:val="clear" w:pos="10195"/>
        </w:tabs>
      </w:pPr>
      <w:r>
        <w:rPr>
          <w:rFonts w:hint="eastAsia" w:ascii="思源黑体" w:hAnsi="思源黑体" w:eastAsia="思源黑体"/>
          <w:color w:val="000000" w:themeColor="text1"/>
          <w:sz w:val="24"/>
          <w14:textFill>
            <w14:solidFill>
              <w14:schemeClr w14:val="tx1"/>
            </w14:solidFill>
          </w14:textFill>
        </w:rPr>
        <w:fldChar w:fldCharType="begin"/>
      </w:r>
      <w:r>
        <w:rPr>
          <w:rFonts w:hint="eastAsia" w:ascii="思源黑体" w:hAnsi="思源黑体" w:eastAsia="思源黑体"/>
          <w:color w:val="000000" w:themeColor="text1"/>
          <w:sz w:val="24"/>
          <w14:textFill>
            <w14:solidFill>
              <w14:schemeClr w14:val="tx1"/>
            </w14:solidFill>
          </w14:textFill>
        </w:rPr>
        <w:instrText xml:space="preserve"> TOC \o "1-3" \h \z \u </w:instrText>
      </w:r>
      <w:r>
        <w:rPr>
          <w:rFonts w:hint="eastAsia" w:ascii="思源黑体" w:hAnsi="思源黑体" w:eastAsia="思源黑体"/>
          <w:color w:val="000000" w:themeColor="text1"/>
          <w:sz w:val="24"/>
          <w14:textFill>
            <w14:solidFill>
              <w14:schemeClr w14:val="tx1"/>
            </w14:solidFill>
          </w14:textFill>
        </w:rPr>
        <w:fldChar w:fldCharType="separate"/>
      </w: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_Toc24342 </w:instrText>
      </w:r>
      <w:r>
        <w:rPr>
          <w:rFonts w:hint="eastAsia" w:ascii="思源黑体" w:hAnsi="思源黑体" w:eastAsia="思源黑体"/>
        </w:rPr>
        <w:fldChar w:fldCharType="separate"/>
      </w:r>
      <w:r>
        <w:rPr>
          <w:rFonts w:hint="eastAsia" w:ascii="思源黑体" w:hAnsi="思源黑体" w:eastAsia="思源黑体"/>
        </w:rPr>
        <w:t>1. 行情回顾</w:t>
      </w:r>
      <w:r>
        <w:tab/>
      </w:r>
      <w:r>
        <w:fldChar w:fldCharType="begin"/>
      </w:r>
      <w:r>
        <w:instrText xml:space="preserve"> PAGEREF _Toc24342 \h </w:instrText>
      </w:r>
      <w:r>
        <w:fldChar w:fldCharType="separate"/>
      </w:r>
      <w:r>
        <w:t>4</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9"/>
        <w:tabs>
          <w:tab w:val="right" w:leader="dot" w:pos="8504"/>
          <w:tab w:val="clear" w:pos="10195"/>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_Toc20373 </w:instrText>
      </w:r>
      <w:r>
        <w:rPr>
          <w:rFonts w:hint="eastAsia" w:ascii="思源黑体" w:hAnsi="思源黑体" w:eastAsia="思源黑体"/>
        </w:rPr>
        <w:fldChar w:fldCharType="separate"/>
      </w:r>
      <w:r>
        <w:rPr>
          <w:rFonts w:hint="eastAsia" w:ascii="思源黑体" w:hAnsi="思源黑体" w:eastAsia="思源黑体"/>
        </w:rPr>
        <w:t xml:space="preserve">2. </w:t>
      </w:r>
      <w:r>
        <w:rPr>
          <w:rFonts w:ascii="思源黑体" w:hAnsi="思源黑体" w:eastAsia="思源黑体"/>
        </w:rPr>
        <w:t>基本面分析</w:t>
      </w:r>
      <w:r>
        <w:tab/>
      </w:r>
      <w:r>
        <w:fldChar w:fldCharType="begin"/>
      </w:r>
      <w:r>
        <w:instrText xml:space="preserve"> PAGEREF _Toc20373 \h </w:instrText>
      </w:r>
      <w:r>
        <w:fldChar w:fldCharType="separate"/>
      </w:r>
      <w:r>
        <w:t>5</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12"/>
        <w:tabs>
          <w:tab w:val="right" w:leader="dot" w:pos="8504"/>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_Toc27432 </w:instrText>
      </w:r>
      <w:r>
        <w:rPr>
          <w:rFonts w:hint="eastAsia" w:ascii="思源黑体" w:hAnsi="思源黑体" w:eastAsia="思源黑体"/>
        </w:rPr>
        <w:fldChar w:fldCharType="separate"/>
      </w:r>
      <w:r>
        <w:rPr>
          <w:rFonts w:hint="eastAsia"/>
        </w:rPr>
        <w:t>2.1. 四季度产量或稳中有升</w:t>
      </w:r>
      <w:r>
        <w:tab/>
      </w:r>
      <w:r>
        <w:fldChar w:fldCharType="begin"/>
      </w:r>
      <w:r>
        <w:instrText xml:space="preserve"> PAGEREF _Toc27432 \h </w:instrText>
      </w:r>
      <w:r>
        <w:fldChar w:fldCharType="separate"/>
      </w:r>
      <w:r>
        <w:t>5</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12"/>
        <w:tabs>
          <w:tab w:val="right" w:leader="dot" w:pos="8504"/>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_Toc13802 </w:instrText>
      </w:r>
      <w:r>
        <w:rPr>
          <w:rFonts w:hint="eastAsia" w:ascii="思源黑体" w:hAnsi="思源黑体" w:eastAsia="思源黑体"/>
        </w:rPr>
        <w:fldChar w:fldCharType="separate"/>
      </w:r>
      <w:r>
        <w:rPr>
          <w:rFonts w:hint="eastAsia"/>
        </w:rPr>
        <w:t>2.2. 进口增长预期收紧</w:t>
      </w:r>
      <w:r>
        <w:tab/>
      </w:r>
      <w:r>
        <w:fldChar w:fldCharType="begin"/>
      </w:r>
      <w:r>
        <w:instrText xml:space="preserve"> PAGEREF _Toc13802 \h </w:instrText>
      </w:r>
      <w:r>
        <w:fldChar w:fldCharType="separate"/>
      </w:r>
      <w:r>
        <w:t>5</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12"/>
        <w:tabs>
          <w:tab w:val="right" w:leader="dot" w:pos="8504"/>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_Toc3874 </w:instrText>
      </w:r>
      <w:r>
        <w:rPr>
          <w:rFonts w:hint="eastAsia" w:ascii="思源黑体" w:hAnsi="思源黑体" w:eastAsia="思源黑体"/>
        </w:rPr>
        <w:fldChar w:fldCharType="separate"/>
      </w:r>
      <w:r>
        <w:rPr>
          <w:rFonts w:hint="eastAsia"/>
        </w:rPr>
        <w:t>2.3. 需求存量疲软增量可期</w:t>
      </w:r>
      <w:r>
        <w:tab/>
      </w:r>
      <w:r>
        <w:fldChar w:fldCharType="begin"/>
      </w:r>
      <w:r>
        <w:instrText xml:space="preserve"> PAGEREF _Toc3874 \h </w:instrText>
      </w:r>
      <w:r>
        <w:fldChar w:fldCharType="separate"/>
      </w:r>
      <w:r>
        <w:t>6</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12"/>
        <w:tabs>
          <w:tab w:val="right" w:leader="dot" w:pos="8504"/>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_Toc24885 </w:instrText>
      </w:r>
      <w:r>
        <w:rPr>
          <w:rFonts w:hint="eastAsia" w:ascii="思源黑体" w:hAnsi="思源黑体" w:eastAsia="思源黑体"/>
        </w:rPr>
        <w:fldChar w:fldCharType="separate"/>
      </w:r>
      <w:r>
        <w:rPr>
          <w:rFonts w:hint="eastAsia"/>
        </w:rPr>
        <w:t>2.4. 库存先承压后缓解</w:t>
      </w:r>
      <w:r>
        <w:tab/>
      </w:r>
      <w:r>
        <w:fldChar w:fldCharType="begin"/>
      </w:r>
      <w:r>
        <w:instrText xml:space="preserve"> PAGEREF _Toc24885 \h </w:instrText>
      </w:r>
      <w:r>
        <w:fldChar w:fldCharType="separate"/>
      </w:r>
      <w:r>
        <w:t>7</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12"/>
        <w:tabs>
          <w:tab w:val="right" w:leader="dot" w:pos="8504"/>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_Toc29503 </w:instrText>
      </w:r>
      <w:r>
        <w:rPr>
          <w:rFonts w:hint="eastAsia" w:ascii="思源黑体" w:hAnsi="思源黑体" w:eastAsia="思源黑体"/>
        </w:rPr>
        <w:fldChar w:fldCharType="separate"/>
      </w:r>
      <w:r>
        <w:rPr>
          <w:rFonts w:hint="eastAsia"/>
        </w:rPr>
        <w:t>2.5. 成本支撑较强</w:t>
      </w:r>
      <w:r>
        <w:tab/>
      </w:r>
      <w:r>
        <w:fldChar w:fldCharType="begin"/>
      </w:r>
      <w:r>
        <w:instrText xml:space="preserve"> PAGEREF _Toc29503 \h </w:instrText>
      </w:r>
      <w:r>
        <w:fldChar w:fldCharType="separate"/>
      </w:r>
      <w:r>
        <w:t>8</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9"/>
        <w:tabs>
          <w:tab w:val="right" w:leader="dot" w:pos="8504"/>
          <w:tab w:val="clear" w:pos="10195"/>
        </w:tabs>
      </w:pPr>
      <w:r>
        <w:rPr>
          <w:rFonts w:hint="eastAsia" w:ascii="思源黑体" w:hAnsi="思源黑体" w:eastAsia="思源黑体"/>
          <w:color w:val="000000" w:themeColor="text1"/>
          <w14:textFill>
            <w14:solidFill>
              <w14:schemeClr w14:val="tx1"/>
            </w14:solidFill>
          </w14:textFill>
        </w:rPr>
        <w:fldChar w:fldCharType="begin"/>
      </w:r>
      <w:r>
        <w:rPr>
          <w:rFonts w:hint="eastAsia" w:ascii="思源黑体" w:hAnsi="思源黑体" w:eastAsia="思源黑体"/>
        </w:rPr>
        <w:instrText xml:space="preserve"> HYPERLINK \l _Toc7 </w:instrText>
      </w:r>
      <w:r>
        <w:rPr>
          <w:rFonts w:hint="eastAsia" w:ascii="思源黑体" w:hAnsi="思源黑体" w:eastAsia="思源黑体"/>
        </w:rPr>
        <w:fldChar w:fldCharType="separate"/>
      </w:r>
      <w:r>
        <w:rPr>
          <w:rFonts w:hint="eastAsia"/>
        </w:rPr>
        <w:t>3. 总结</w:t>
      </w:r>
      <w:r>
        <w:tab/>
      </w:r>
      <w:r>
        <w:fldChar w:fldCharType="begin"/>
      </w:r>
      <w:r>
        <w:instrText xml:space="preserve"> PAGEREF _Toc7 \h </w:instrText>
      </w:r>
      <w:r>
        <w:fldChar w:fldCharType="separate"/>
      </w:r>
      <w:r>
        <w:t>8</w:t>
      </w:r>
      <w:r>
        <w:fldChar w:fldCharType="end"/>
      </w:r>
      <w:r>
        <w:rPr>
          <w:rFonts w:hint="eastAsia" w:ascii="思源黑体" w:hAnsi="思源黑体" w:eastAsia="思源黑体"/>
          <w:color w:val="000000" w:themeColor="text1"/>
          <w14:textFill>
            <w14:solidFill>
              <w14:schemeClr w14:val="tx1"/>
            </w14:solidFill>
          </w14:textFill>
        </w:rPr>
        <w:fldChar w:fldCharType="end"/>
      </w:r>
    </w:p>
    <w:p>
      <w:pPr>
        <w:pStyle w:val="22"/>
        <w:rPr>
          <w:rFonts w:hint="eastAsia" w:ascii="思源黑体" w:hAnsi="思源黑体" w:eastAsia="思源黑体"/>
        </w:rPr>
      </w:pPr>
      <w:r>
        <w:rPr>
          <w:rFonts w:hint="eastAsia" w:ascii="思源黑体" w:hAnsi="思源黑体" w:eastAsia="思源黑体"/>
          <w:color w:val="000000" w:themeColor="text1"/>
          <w14:textFill>
            <w14:solidFill>
              <w14:schemeClr w14:val="tx1"/>
            </w14:solidFill>
          </w14:textFill>
        </w:rPr>
        <w:fldChar w:fldCharType="end"/>
      </w:r>
    </w:p>
    <w:p>
      <w:pPr>
        <w:pStyle w:val="10"/>
        <w:spacing w:line="14" w:lineRule="exact"/>
        <w:rPr>
          <w:rFonts w:hint="eastAsia" w:ascii="思源黑体" w:hAnsi="思源黑体" w:eastAsia="思源黑体"/>
        </w:rPr>
      </w:pPr>
      <w:r>
        <w:rPr>
          <w:rFonts w:hint="eastAsia" w:ascii="思源黑体" w:hAnsi="思源黑体" w:eastAsia="思源黑体"/>
        </w:rPr>
        <w:br w:type="page"/>
      </w:r>
    </w:p>
    <w:p>
      <w:pPr>
        <w:pStyle w:val="22"/>
        <w:jc w:val="center"/>
        <w:rPr>
          <w:rFonts w:hint="eastAsia" w:ascii="思源黑体" w:hAnsi="思源黑体" w:eastAsia="思源黑体"/>
          <w:b/>
          <w:color w:val="D70C25"/>
          <w:sz w:val="36"/>
          <w:szCs w:val="36"/>
        </w:rPr>
      </w:pPr>
      <w:r>
        <w:rPr>
          <w:rFonts w:hint="eastAsia" w:ascii="思源黑体" w:hAnsi="思源黑体" w:eastAsia="思源黑体"/>
          <w:b/>
          <w:color w:val="D70C25"/>
          <w:sz w:val="36"/>
          <w:szCs w:val="36"/>
        </w:rPr>
        <w:t>图表目录</w:t>
      </w:r>
    </w:p>
    <w:p>
      <w:pPr>
        <w:pStyle w:val="11"/>
        <w:tabs>
          <w:tab w:val="right" w:leader="dot" w:pos="8504"/>
        </w:tabs>
      </w:pPr>
      <w:r>
        <w:rPr>
          <w:rFonts w:hint="eastAsia" w:ascii="思源黑体" w:hAnsi="思源黑体" w:eastAsia="思源黑体"/>
        </w:rPr>
        <w:fldChar w:fldCharType="begin"/>
      </w:r>
      <w:r>
        <w:rPr>
          <w:rFonts w:hint="eastAsia" w:ascii="思源黑体" w:hAnsi="思源黑体" w:eastAsia="思源黑体"/>
        </w:rPr>
        <w:instrText xml:space="preserve"> TOC \h \z \t "【正文】图标题" \c </w:instrText>
      </w:r>
      <w:r>
        <w:rPr>
          <w:rFonts w:hint="eastAsia" w:ascii="思源黑体" w:hAnsi="思源黑体" w:eastAsia="思源黑体"/>
        </w:rPr>
        <w:fldChar w:fldCharType="separate"/>
      </w:r>
      <w:r>
        <w:rPr>
          <w:rFonts w:hint="eastAsia" w:ascii="思源黑体" w:hAnsi="思源黑体" w:eastAsia="思源黑体"/>
        </w:rPr>
        <w:fldChar w:fldCharType="begin"/>
      </w:r>
      <w:r>
        <w:rPr>
          <w:rFonts w:hint="eastAsia" w:ascii="思源黑体" w:hAnsi="思源黑体" w:eastAsia="思源黑体"/>
        </w:rPr>
        <w:instrText xml:space="preserve"> HYPERLINK \l _Toc2471 </w:instrText>
      </w:r>
      <w:r>
        <w:rPr>
          <w:rFonts w:hint="eastAsia" w:ascii="思源黑体" w:hAnsi="思源黑体" w:eastAsia="思源黑体"/>
        </w:rPr>
        <w:fldChar w:fldCharType="separate"/>
      </w:r>
      <w:r>
        <w:rPr>
          <w:rFonts w:hint="eastAsia" w:ascii="思源黑体" w:hAnsi="思源黑体" w:eastAsia="思源黑体"/>
        </w:rPr>
        <w:t xml:space="preserve">图1 </w:t>
      </w:r>
      <w:r>
        <w:rPr>
          <w:rFonts w:ascii="思源黑体" w:hAnsi="思源黑体" w:eastAsia="思源黑体"/>
        </w:rPr>
        <w:t>甲醇主力合约价格走势</w:t>
      </w:r>
      <w:r>
        <w:tab/>
      </w:r>
      <w:r>
        <w:fldChar w:fldCharType="begin"/>
      </w:r>
      <w:r>
        <w:instrText xml:space="preserve"> PAGEREF _Toc2471 \h </w:instrText>
      </w:r>
      <w:r>
        <w:fldChar w:fldCharType="separate"/>
      </w:r>
      <w:r>
        <w:t>4</w:t>
      </w:r>
      <w:r>
        <w:fldChar w:fldCharType="end"/>
      </w:r>
      <w:r>
        <w:rPr>
          <w:rFonts w:hint="eastAsia" w:ascii="思源黑体" w:hAnsi="思源黑体" w:eastAsia="思源黑体"/>
        </w:rPr>
        <w:fldChar w:fldCharType="end"/>
      </w:r>
    </w:p>
    <w:p>
      <w:pPr>
        <w:pStyle w:val="11"/>
        <w:tabs>
          <w:tab w:val="right" w:leader="dot" w:pos="8504"/>
        </w:tabs>
      </w:pPr>
      <w:r>
        <w:rPr>
          <w:rFonts w:hint="eastAsia"/>
        </w:rPr>
        <w:fldChar w:fldCharType="begin"/>
      </w:r>
      <w:r>
        <w:rPr>
          <w:rFonts w:hint="eastAsia"/>
        </w:rPr>
        <w:instrText xml:space="preserve"> HYPERLINK \l _Toc19045 </w:instrText>
      </w:r>
      <w:r>
        <w:rPr>
          <w:rFonts w:hint="eastAsia"/>
        </w:rPr>
        <w:fldChar w:fldCharType="separate"/>
      </w:r>
      <w:r>
        <w:rPr>
          <w:rFonts w:hint="eastAsia" w:ascii="思源黑体" w:hAnsi="思源黑体" w:eastAsia="思源黑体"/>
        </w:rPr>
        <w:t>图2 全国</w:t>
      </w:r>
      <w:r>
        <w:rPr>
          <w:rFonts w:ascii="思源黑体" w:hAnsi="思源黑体" w:eastAsia="思源黑体"/>
        </w:rPr>
        <w:t>甲醇开工率</w:t>
      </w:r>
      <w:r>
        <w:tab/>
      </w:r>
      <w:r>
        <w:fldChar w:fldCharType="begin"/>
      </w:r>
      <w:r>
        <w:instrText xml:space="preserve"> PAGEREF _Toc19045 \h </w:instrText>
      </w:r>
      <w:r>
        <w:fldChar w:fldCharType="separate"/>
      </w:r>
      <w:r>
        <w:t>5</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_Toc25704 </w:instrText>
      </w:r>
      <w:r>
        <w:rPr>
          <w:rFonts w:hint="eastAsia"/>
        </w:rPr>
        <w:fldChar w:fldCharType="separate"/>
      </w:r>
      <w:r>
        <w:rPr>
          <w:rFonts w:hint="eastAsia" w:ascii="思源黑体" w:hAnsi="思源黑体" w:eastAsia="思源黑体"/>
        </w:rPr>
        <w:t>图3 甲醇月度产量</w:t>
      </w:r>
      <w:r>
        <w:tab/>
      </w:r>
      <w:r>
        <w:fldChar w:fldCharType="begin"/>
      </w:r>
      <w:r>
        <w:instrText xml:space="preserve"> PAGEREF _Toc25704 \h </w:instrText>
      </w:r>
      <w:r>
        <w:fldChar w:fldCharType="separate"/>
      </w:r>
      <w:r>
        <w:t>5</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_Toc346 </w:instrText>
      </w:r>
      <w:r>
        <w:rPr>
          <w:rFonts w:hint="eastAsia"/>
        </w:rPr>
        <w:fldChar w:fldCharType="separate"/>
      </w:r>
      <w:r>
        <w:rPr>
          <w:rFonts w:hint="eastAsia" w:ascii="思源黑体" w:hAnsi="思源黑体" w:eastAsia="思源黑体"/>
        </w:rPr>
        <w:t>图4 甲醇月度进口量</w:t>
      </w:r>
      <w:r>
        <w:tab/>
      </w:r>
      <w:r>
        <w:fldChar w:fldCharType="begin"/>
      </w:r>
      <w:r>
        <w:instrText xml:space="preserve"> PAGEREF _Toc346 \h </w:instrText>
      </w:r>
      <w:r>
        <w:fldChar w:fldCharType="separate"/>
      </w:r>
      <w:r>
        <w:t>6</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_Toc10882 </w:instrText>
      </w:r>
      <w:r>
        <w:rPr>
          <w:rFonts w:hint="eastAsia"/>
        </w:rPr>
        <w:fldChar w:fldCharType="separate"/>
      </w:r>
      <w:r>
        <w:rPr>
          <w:rFonts w:hint="eastAsia" w:ascii="思源黑体" w:hAnsi="思源黑体" w:eastAsia="思源黑体"/>
        </w:rPr>
        <w:t>图5 国际甲醇装置开工率</w:t>
      </w:r>
      <w:r>
        <w:tab/>
      </w:r>
      <w:r>
        <w:fldChar w:fldCharType="begin"/>
      </w:r>
      <w:r>
        <w:instrText xml:space="preserve"> PAGEREF _Toc10882 \h </w:instrText>
      </w:r>
      <w:r>
        <w:fldChar w:fldCharType="separate"/>
      </w:r>
      <w:r>
        <w:t>6</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_Toc11330 </w:instrText>
      </w:r>
      <w:r>
        <w:rPr>
          <w:rFonts w:hint="eastAsia"/>
        </w:rPr>
        <w:fldChar w:fldCharType="separate"/>
      </w:r>
      <w:r>
        <w:rPr>
          <w:rFonts w:hint="eastAsia" w:ascii="思源黑体" w:hAnsi="思源黑体" w:eastAsia="思源黑体"/>
        </w:rPr>
        <w:t>图6 甲醇下游MTO开工率</w:t>
      </w:r>
      <w:r>
        <w:tab/>
      </w:r>
      <w:r>
        <w:fldChar w:fldCharType="begin"/>
      </w:r>
      <w:r>
        <w:instrText xml:space="preserve"> PAGEREF _Toc11330 \h </w:instrText>
      </w:r>
      <w:r>
        <w:fldChar w:fldCharType="separate"/>
      </w:r>
      <w:r>
        <w:t>7</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_Toc30668 </w:instrText>
      </w:r>
      <w:r>
        <w:rPr>
          <w:rFonts w:hint="eastAsia"/>
        </w:rPr>
        <w:fldChar w:fldCharType="separate"/>
      </w:r>
      <w:r>
        <w:rPr>
          <w:rFonts w:hint="eastAsia" w:ascii="思源黑体" w:hAnsi="思源黑体" w:eastAsia="思源黑体"/>
        </w:rPr>
        <w:t>图7 甲醇下游消费量</w:t>
      </w:r>
      <w:r>
        <w:tab/>
      </w:r>
      <w:r>
        <w:fldChar w:fldCharType="begin"/>
      </w:r>
      <w:r>
        <w:instrText xml:space="preserve"> PAGEREF _Toc30668 \h </w:instrText>
      </w:r>
      <w:r>
        <w:fldChar w:fldCharType="separate"/>
      </w:r>
      <w:r>
        <w:t>7</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_Toc2432 </w:instrText>
      </w:r>
      <w:r>
        <w:rPr>
          <w:rFonts w:hint="eastAsia"/>
        </w:rPr>
        <w:fldChar w:fldCharType="separate"/>
      </w:r>
      <w:r>
        <w:rPr>
          <w:rFonts w:hint="eastAsia" w:ascii="思源黑体" w:hAnsi="思源黑体" w:eastAsia="思源黑体"/>
        </w:rPr>
        <w:t>图8 甲醇港口库存</w:t>
      </w:r>
      <w:r>
        <w:tab/>
      </w:r>
      <w:r>
        <w:fldChar w:fldCharType="begin"/>
      </w:r>
      <w:r>
        <w:instrText xml:space="preserve"> PAGEREF _Toc2432 \h </w:instrText>
      </w:r>
      <w:r>
        <w:fldChar w:fldCharType="separate"/>
      </w:r>
      <w:r>
        <w:t>7</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_Toc861 </w:instrText>
      </w:r>
      <w:r>
        <w:rPr>
          <w:rFonts w:hint="eastAsia"/>
        </w:rPr>
        <w:fldChar w:fldCharType="separate"/>
      </w:r>
      <w:r>
        <w:rPr>
          <w:rFonts w:hint="eastAsia" w:ascii="思源黑体" w:hAnsi="思源黑体" w:eastAsia="思源黑体"/>
        </w:rPr>
        <w:t>图9 甲醇生产企业库存</w:t>
      </w:r>
      <w:r>
        <w:tab/>
      </w:r>
      <w:r>
        <w:fldChar w:fldCharType="begin"/>
      </w:r>
      <w:r>
        <w:instrText xml:space="preserve"> PAGEREF _Toc861 \h </w:instrText>
      </w:r>
      <w:r>
        <w:fldChar w:fldCharType="separate"/>
      </w:r>
      <w:r>
        <w:t>7</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_Toc9481 </w:instrText>
      </w:r>
      <w:r>
        <w:rPr>
          <w:rFonts w:hint="eastAsia"/>
        </w:rPr>
        <w:fldChar w:fldCharType="separate"/>
      </w:r>
      <w:r>
        <w:rPr>
          <w:rFonts w:hint="eastAsia" w:ascii="思源黑体" w:hAnsi="思源黑体" w:eastAsia="思源黑体"/>
        </w:rPr>
        <w:t>图10 内蒙古</w:t>
      </w:r>
      <w:r>
        <w:rPr>
          <w:rFonts w:ascii="思源黑体" w:hAnsi="思源黑体" w:eastAsia="思源黑体"/>
        </w:rPr>
        <w:t>乌海</w:t>
      </w:r>
      <w:r>
        <w:rPr>
          <w:rFonts w:hint="eastAsia" w:ascii="思源黑体" w:hAnsi="思源黑体" w:eastAsia="思源黑体"/>
        </w:rPr>
        <w:t>5500大卡</w:t>
      </w:r>
      <w:r>
        <w:rPr>
          <w:rFonts w:ascii="思源黑体" w:hAnsi="思源黑体" w:eastAsia="思源黑体"/>
        </w:rPr>
        <w:t>动力煤价格</w:t>
      </w:r>
      <w:r>
        <w:tab/>
      </w:r>
      <w:r>
        <w:fldChar w:fldCharType="begin"/>
      </w:r>
      <w:r>
        <w:instrText xml:space="preserve"> PAGEREF _Toc9481 \h </w:instrText>
      </w:r>
      <w:r>
        <w:fldChar w:fldCharType="separate"/>
      </w:r>
      <w:r>
        <w:t>8</w:t>
      </w:r>
      <w:r>
        <w:fldChar w:fldCharType="end"/>
      </w:r>
      <w:r>
        <w:rPr>
          <w:rFonts w:hint="eastAsia"/>
        </w:rPr>
        <w:fldChar w:fldCharType="end"/>
      </w:r>
    </w:p>
    <w:p>
      <w:pPr>
        <w:pStyle w:val="11"/>
        <w:tabs>
          <w:tab w:val="right" w:leader="dot" w:pos="8504"/>
        </w:tabs>
      </w:pPr>
      <w:r>
        <w:rPr>
          <w:rFonts w:hint="eastAsia"/>
        </w:rPr>
        <w:fldChar w:fldCharType="begin"/>
      </w:r>
      <w:r>
        <w:rPr>
          <w:rFonts w:hint="eastAsia"/>
        </w:rPr>
        <w:instrText xml:space="preserve"> HYPERLINK \l _Toc32169 </w:instrText>
      </w:r>
      <w:r>
        <w:rPr>
          <w:rFonts w:hint="eastAsia"/>
        </w:rPr>
        <w:fldChar w:fldCharType="separate"/>
      </w:r>
      <w:r>
        <w:rPr>
          <w:rFonts w:hint="eastAsia" w:ascii="思源黑体" w:hAnsi="思源黑体" w:eastAsia="思源黑体"/>
        </w:rPr>
        <w:t>图11 煤制</w:t>
      </w:r>
      <w:r>
        <w:rPr>
          <w:rFonts w:ascii="思源黑体" w:hAnsi="思源黑体" w:eastAsia="思源黑体"/>
        </w:rPr>
        <w:t>甲醇</w:t>
      </w:r>
      <w:r>
        <w:rPr>
          <w:rFonts w:hint="eastAsia" w:ascii="思源黑体" w:hAnsi="思源黑体" w:eastAsia="思源黑体"/>
        </w:rPr>
        <w:t>成本</w:t>
      </w:r>
      <w:r>
        <w:rPr>
          <w:rFonts w:ascii="思源黑体" w:hAnsi="思源黑体" w:eastAsia="思源黑体"/>
        </w:rPr>
        <w:t>利润</w:t>
      </w:r>
      <w:r>
        <w:tab/>
      </w:r>
      <w:r>
        <w:fldChar w:fldCharType="begin"/>
      </w:r>
      <w:r>
        <w:instrText xml:space="preserve"> PAGEREF _Toc32169 \h </w:instrText>
      </w:r>
      <w:r>
        <w:fldChar w:fldCharType="separate"/>
      </w:r>
      <w:r>
        <w:t>8</w:t>
      </w:r>
      <w:r>
        <w:fldChar w:fldCharType="end"/>
      </w:r>
      <w:r>
        <w:rPr>
          <w:rFonts w:hint="eastAsia"/>
        </w:rPr>
        <w:fldChar w:fldCharType="end"/>
      </w:r>
    </w:p>
    <w:p>
      <w:pPr>
        <w:pStyle w:val="11"/>
      </w:pPr>
      <w:r>
        <w:rPr>
          <w:rFonts w:hint="eastAsia"/>
        </w:rPr>
        <w:fldChar w:fldCharType="end"/>
      </w:r>
    </w:p>
    <w:p>
      <w:pPr>
        <w:rPr>
          <w:rFonts w:hint="eastAsia"/>
        </w:rPr>
      </w:pPr>
    </w:p>
    <w:p>
      <w:pPr>
        <w:pStyle w:val="10"/>
        <w:spacing w:line="14" w:lineRule="exact"/>
        <w:rPr>
          <w:rFonts w:hint="eastAsia" w:ascii="思源黑体" w:hAnsi="思源黑体" w:eastAsia="思源黑体"/>
        </w:rPr>
      </w:pPr>
    </w:p>
    <w:p>
      <w:pPr>
        <w:pStyle w:val="10"/>
        <w:rPr>
          <w:rFonts w:hint="eastAsia" w:ascii="思源黑体" w:hAnsi="思源黑体" w:eastAsia="思源黑体"/>
        </w:rPr>
        <w:sectPr>
          <w:headerReference r:id="rId7" w:type="first"/>
          <w:pgSz w:w="11906" w:h="16838"/>
          <w:pgMar w:top="1134" w:right="1701" w:bottom="851" w:left="1701" w:header="851" w:footer="851" w:gutter="0"/>
          <w:cols w:space="425" w:num="1"/>
          <w:docGrid w:type="lines" w:linePitch="312" w:charSpace="0"/>
        </w:sectPr>
      </w:pPr>
    </w:p>
    <w:p>
      <w:pPr>
        <w:pStyle w:val="26"/>
        <w:spacing w:before="0" w:beforeLines="0"/>
        <w:rPr>
          <w:rFonts w:hint="eastAsia" w:ascii="思源黑体" w:hAnsi="思源黑体" w:eastAsia="思源黑体"/>
        </w:rPr>
      </w:pPr>
      <w:bookmarkStart w:id="0" w:name="_Toc24342"/>
      <w:r>
        <w:rPr>
          <w:rFonts w:hint="eastAsia" w:ascii="思源黑体" w:hAnsi="思源黑体" w:eastAsia="思源黑体"/>
        </w:rPr>
        <w:t>行情回顾</w:t>
      </w:r>
      <w:bookmarkEnd w:id="0"/>
    </w:p>
    <w:p>
      <w:pPr>
        <w:pStyle w:val="29"/>
        <w:spacing w:after="156"/>
        <w:ind w:firstLine="400"/>
      </w:pPr>
      <w:bookmarkStart w:id="1" w:name="OLE_LINK1"/>
      <w:r>
        <w:rPr>
          <w:rFonts w:hint="eastAsia"/>
        </w:rPr>
        <w:t>2025年三季度，主力合约由2509切换至2601，行情在宏观政策预期与疲弱基本面现实的拉锯下曲折演进，价格最高在7月下，随后一直震荡下跌。</w:t>
      </w:r>
    </w:p>
    <w:p>
      <w:pPr>
        <w:pStyle w:val="29"/>
        <w:spacing w:after="156"/>
        <w:ind w:firstLine="400"/>
      </w:pPr>
      <w:r>
        <w:rPr>
          <w:rFonts w:hint="eastAsia"/>
        </w:rPr>
        <w:t>7月，主力合约2509以2380元/吨开盘。月初虽受“反内卷”政策氛围支撑，但因自身基本面弱势，价格在整个上中旬持续于2350-2430元/吨的区间内窄幅震荡。转机出现在下旬，随着“老旧装置重新定义”与“煤矿产能核查”等政策利好发酵，叠加进口卸货缓慢导致港口超预期去库，期货价格于7月25日强势突破，最高冲至2525元/吨。然而此轮涨势昙花一现，当夜便因资金离场而快速回落至2400元/吨附近。进入8月，主力合约换月至2601。月初价格在2496元/吨附近获得政策余温支撑，但随着“反内卷”热度消退，市场焦点回归严峻的供需现实。进口货源集中到港与华东需求持续疲软，导致港口库存快速突破100万吨，价格因此承压连续下挫，并于8月19日触及月内低点2369元/吨。直至下旬，在内地至港口套利窗口打开及行业调整传闻的刺激下，价格才随板块反弹至2400元/吨上方，但全月仍因高库存压制而收跌。步入9月，在内地现货走强、烯烃装置重启预期及传统“金九银十”旺季憧憬的推动下，价格一度反弹至2424元/吨。然而，港口高库存的现实与高位进口的预期始终制约上行空间，加之宏观情绪重估与主题交易退潮，价格承压回落并跌破前期低点支撑。临近国庆长假，资金离场观望，市场交投转淡，“金九”旺季预期最终落空，季度行情在弱势震荡中收官。</w:t>
      </w:r>
    </w:p>
    <w:p>
      <w:pPr>
        <w:pStyle w:val="29"/>
        <w:spacing w:after="156"/>
        <w:ind w:firstLine="400"/>
      </w:pPr>
    </w:p>
    <w:tbl>
      <w:tblPr>
        <w:tblStyle w:val="44"/>
        <w:tblW w:w="10206" w:type="dxa"/>
        <w:tblInd w:w="-2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206" w:type="dxa"/>
            <w:tcBorders>
              <w:bottom w:val="single" w:color="E10C25" w:sz="8" w:space="0"/>
            </w:tcBorders>
            <w:vAlign w:val="center"/>
          </w:tcPr>
          <w:p>
            <w:pPr>
              <w:pStyle w:val="31"/>
              <w:rPr>
                <w:rFonts w:hint="eastAsia" w:ascii="思源黑体" w:hAnsi="思源黑体" w:eastAsia="思源黑体"/>
              </w:rPr>
            </w:pPr>
            <w:bookmarkStart w:id="2" w:name="_Toc141685355"/>
            <w:bookmarkStart w:id="3" w:name="_Toc2471"/>
            <w:r>
              <w:rPr>
                <w:rFonts w:ascii="思源黑体" w:hAnsi="思源黑体" w:eastAsia="思源黑体"/>
              </w:rPr>
              <w:t>甲醇主力合约价格走势</w:t>
            </w:r>
            <w:bookmarkEnd w:id="2"/>
            <w:bookmarkEnd w:id="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9" w:hRule="atLeast"/>
        </w:trPr>
        <w:tc>
          <w:tcPr>
            <w:tcW w:w="10206" w:type="dxa"/>
            <w:tcBorders>
              <w:top w:val="single" w:color="E10C25" w:sz="8" w:space="0"/>
              <w:bottom w:val="single" w:color="E10C25" w:sz="8" w:space="0"/>
            </w:tcBorders>
            <w:vAlign w:val="center"/>
          </w:tcPr>
          <w:p>
            <w:pPr>
              <w:pStyle w:val="10"/>
              <w:jc w:val="center"/>
              <w:rPr>
                <w:rFonts w:hint="eastAsia" w:ascii="思源黑体" w:hAnsi="思源黑体" w:eastAsia="思源黑体"/>
              </w:rPr>
            </w:pPr>
            <w:r>
              <w:rPr>
                <w:rFonts w:hint="eastAsia" w:ascii="思源黑体" w:hAnsi="思源黑体" w:eastAsia="思源黑体"/>
              </w:rPr>
              <w:drawing>
                <wp:inline distT="0" distB="0" distL="0" distR="0">
                  <wp:extent cx="6206490" cy="2914015"/>
                  <wp:effectExtent l="0" t="0" r="3810" b="635"/>
                  <wp:docPr id="21327431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43105"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06490" cy="2914015"/>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206"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资料来源：东海期货研究所，同花顺</w:t>
            </w:r>
          </w:p>
        </w:tc>
      </w:tr>
    </w:tbl>
    <w:p>
      <w:pPr>
        <w:pStyle w:val="26"/>
        <w:numPr>
          <w:ilvl w:val="0"/>
          <w:numId w:val="0"/>
        </w:numPr>
      </w:pPr>
    </w:p>
    <w:p>
      <w:pPr>
        <w:pStyle w:val="26"/>
        <w:rPr>
          <w:rFonts w:hint="eastAsia" w:ascii="思源黑体" w:hAnsi="思源黑体" w:eastAsia="思源黑体"/>
        </w:rPr>
      </w:pPr>
      <w:bookmarkStart w:id="4" w:name="_Toc20373"/>
      <w:r>
        <w:rPr>
          <w:rFonts w:ascii="思源黑体" w:hAnsi="思源黑体" w:eastAsia="思源黑体"/>
        </w:rPr>
        <w:t>基本面分析</w:t>
      </w:r>
      <w:bookmarkEnd w:id="4"/>
    </w:p>
    <w:p>
      <w:pPr>
        <w:pStyle w:val="27"/>
        <w:spacing w:before="156" w:after="156"/>
      </w:pPr>
      <w:bookmarkStart w:id="5" w:name="_Toc27432"/>
      <w:r>
        <w:rPr>
          <w:rFonts w:hint="eastAsia"/>
        </w:rPr>
        <w:t>四季度产量或稳中有升</w:t>
      </w:r>
      <w:bookmarkEnd w:id="5"/>
    </w:p>
    <w:p>
      <w:pPr>
        <w:pStyle w:val="29"/>
        <w:spacing w:after="156"/>
        <w:ind w:firstLine="400"/>
      </w:pPr>
      <w:bookmarkStart w:id="6" w:name="OLE_LINK4"/>
      <w:bookmarkStart w:id="7" w:name="OLE_LINK11"/>
      <w:r>
        <w:rPr>
          <w:rFonts w:hint="eastAsia"/>
        </w:rPr>
        <w:t>2025年三季度甲醇产量根据隆众数据估算在2507.5万吨左右，环比一季度2588万吨下降80万吨，降幅3.1%左右，月平均下降26.7万吨左右。2025年三季度，中国甲醇生产经历了从缓慢收缩到大幅收紧的演变过程，供应端波动显著</w:t>
      </w:r>
    </w:p>
    <w:p>
      <w:pPr>
        <w:pStyle w:val="29"/>
        <w:spacing w:after="156"/>
        <w:ind w:firstLine="400"/>
      </w:pPr>
      <w:r>
        <w:rPr>
          <w:rFonts w:hint="eastAsia"/>
        </w:rPr>
        <w:t>生产自6月底开启的行业集中检修后持续收缩，7月全国产量预估为842.77万吨，环比6月下降约20万吨。虽然产量有所回落，但较去年同期仍大幅增加102万吨，表明行业供应基数已处于较高水平。8月供应局面更趋复杂，产量收缩主要源于内地多套装置按计划检修，以及受华北地区阅兵环保政策影响，部分焦炉气制甲醇企业被迫降负运行，共同导致内地供应格局偏紧。与市场预期相反，9月份甲醇生产呈现出“先升后降，总体大幅收缩”的运行特征。月初在部分装置重启带动下，开工率曾短暂冲高，但这一势头迅速被月中开始的大规模集中检修所逆转。进入中下旬，检修规模进一步扩大。导致9月中下旬开工率出现断崖式下滑，全月平均开工水平因此被显著拉低，供应端大幅收紧，成为三季度末最核心的供应面事件。整体来看，三季度的甲醇供应经历了从缓慢下降到急剧收紧的完整周期。</w:t>
      </w:r>
    </w:p>
    <w:p>
      <w:pPr>
        <w:pStyle w:val="29"/>
        <w:spacing w:after="156"/>
        <w:ind w:firstLine="400"/>
      </w:pPr>
      <w:r>
        <w:rPr>
          <w:rFonts w:hint="eastAsia"/>
        </w:rPr>
        <w:t>随着9月底装置陆续重启，四季度国内甲醇产量预计将在检修结束后步入回升通道。然而，这一上涨趋势的幅度或将受到季节性限气因素的制约，使得整体产量呈现“先增后稳”的态势。且由于国内甲醇产能基数较大，即便增长斜率放缓，预计总供应量仍将维持在较高水平，具体关注限气兑现情况。</w:t>
      </w:r>
    </w:p>
    <w:bookmarkEnd w:id="6"/>
    <w:bookmarkEnd w:id="7"/>
    <w:tbl>
      <w:tblPr>
        <w:tblStyle w:val="15"/>
        <w:tblW w:w="10206" w:type="dxa"/>
        <w:tblInd w:w="-2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5"/>
        <w:gridCol w:w="236"/>
        <w:gridCol w:w="4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bottom w:val="single" w:color="E10C25" w:sz="8" w:space="0"/>
            </w:tcBorders>
            <w:vAlign w:val="center"/>
          </w:tcPr>
          <w:p>
            <w:pPr>
              <w:pStyle w:val="31"/>
              <w:rPr>
                <w:rFonts w:hint="eastAsia" w:ascii="思源黑体" w:hAnsi="思源黑体" w:eastAsia="思源黑体"/>
              </w:rPr>
            </w:pPr>
            <w:bookmarkStart w:id="8" w:name="_Toc141685356"/>
            <w:bookmarkStart w:id="9" w:name="_Toc19045"/>
            <w:r>
              <w:rPr>
                <w:rFonts w:hint="eastAsia" w:ascii="思源黑体" w:hAnsi="思源黑体" w:eastAsia="思源黑体"/>
              </w:rPr>
              <w:t>全国</w:t>
            </w:r>
            <w:r>
              <w:rPr>
                <w:rFonts w:ascii="思源黑体" w:hAnsi="思源黑体" w:eastAsia="思源黑体"/>
              </w:rPr>
              <w:t>甲醇开工率</w:t>
            </w:r>
            <w:bookmarkEnd w:id="8"/>
            <w:bookmarkEnd w:id="9"/>
          </w:p>
        </w:tc>
        <w:tc>
          <w:tcPr>
            <w:tcW w:w="236" w:type="dxa"/>
            <w:vAlign w:val="center"/>
          </w:tcPr>
          <w:p>
            <w:pPr>
              <w:pStyle w:val="10"/>
              <w:jc w:val="right"/>
              <w:rPr>
                <w:rFonts w:hint="eastAsia" w:ascii="思源黑体" w:hAnsi="思源黑体" w:eastAsia="思源黑体"/>
              </w:rPr>
            </w:pPr>
          </w:p>
        </w:tc>
        <w:tc>
          <w:tcPr>
            <w:tcW w:w="4985" w:type="dxa"/>
            <w:tcBorders>
              <w:bottom w:val="single" w:color="E10C25" w:sz="8" w:space="0"/>
            </w:tcBorders>
            <w:vAlign w:val="center"/>
          </w:tcPr>
          <w:p>
            <w:pPr>
              <w:pStyle w:val="31"/>
              <w:rPr>
                <w:rFonts w:hint="eastAsia" w:ascii="思源黑体" w:hAnsi="思源黑体" w:eastAsia="思源黑体"/>
              </w:rPr>
            </w:pPr>
            <w:bookmarkStart w:id="10" w:name="_Toc25704"/>
            <w:r>
              <w:rPr>
                <w:rFonts w:hint="eastAsia" w:ascii="思源黑体" w:hAnsi="思源黑体" w:eastAsia="思源黑体"/>
              </w:rPr>
              <w:t>甲醇月度产量</w:t>
            </w:r>
            <w:bookmarkEnd w:id="1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rPr>
            </w:pPr>
            <w:r>
              <w:rPr>
                <w:rFonts w:hint="eastAsia" w:ascii="思源黑体" w:hAnsi="思源黑体" w:eastAsia="思源黑体"/>
              </w:rPr>
              <w:drawing>
                <wp:inline distT="0" distB="0" distL="0" distR="0">
                  <wp:extent cx="2983230" cy="1384935"/>
                  <wp:effectExtent l="0" t="0" r="7620" b="5715"/>
                  <wp:docPr id="17937035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03597" name="图片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97383" cy="1391521"/>
                          </a:xfrm>
                          <a:prstGeom prst="rect">
                            <a:avLst/>
                          </a:prstGeom>
                          <a:noFill/>
                        </pic:spPr>
                      </pic:pic>
                    </a:graphicData>
                  </a:graphic>
                </wp:inline>
              </w:drawing>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szCs w:val="20"/>
              </w:rPr>
            </w:pPr>
            <w:r>
              <w:rPr>
                <w:rFonts w:hint="eastAsia" w:ascii="思源黑体" w:hAnsi="思源黑体" w:eastAsia="思源黑体"/>
                <w:szCs w:val="20"/>
              </w:rPr>
              <w:drawing>
                <wp:inline distT="0" distB="0" distL="0" distR="0">
                  <wp:extent cx="3034665" cy="1404620"/>
                  <wp:effectExtent l="0" t="0" r="0" b="5080"/>
                  <wp:docPr id="18193668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66873" name="图片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41712" cy="140825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r>
    </w:tbl>
    <w:p>
      <w:pPr>
        <w:pStyle w:val="27"/>
        <w:spacing w:before="156" w:after="156"/>
      </w:pPr>
      <w:bookmarkStart w:id="11" w:name="_Toc13802"/>
      <w:r>
        <w:rPr>
          <w:rFonts w:hint="eastAsia"/>
        </w:rPr>
        <w:t>进口增长预期收紧</w:t>
      </w:r>
      <w:bookmarkEnd w:id="11"/>
    </w:p>
    <w:p>
      <w:pPr>
        <w:pStyle w:val="29"/>
        <w:spacing w:after="156"/>
        <w:ind w:firstLine="400"/>
      </w:pPr>
      <w:bookmarkStart w:id="12" w:name="OLE_LINK12"/>
      <w:r>
        <w:rPr>
          <w:rFonts w:hint="eastAsia"/>
        </w:rPr>
        <w:t>隆众数据显示：</w:t>
      </w:r>
      <w:bookmarkEnd w:id="12"/>
      <w:bookmarkStart w:id="13" w:name="OLE_LINK13"/>
      <w:r>
        <w:rPr>
          <w:rFonts w:hint="eastAsia"/>
        </w:rPr>
        <w:t>2025年三季度进口约430万吨，环比二季度330万吨上涨100万吨左右。</w:t>
      </w:r>
    </w:p>
    <w:bookmarkEnd w:id="13"/>
    <w:p>
      <w:pPr>
        <w:pStyle w:val="29"/>
        <w:spacing w:after="156"/>
        <w:ind w:firstLine="400"/>
      </w:pPr>
      <w:r>
        <w:rPr>
          <w:rFonts w:hint="eastAsia"/>
        </w:rPr>
        <w:t>7月，国际甲醇装置开工率已恢复至中性偏高水平，市场普遍预期后续进口供应将趋于宽松，当月中国甲醇进口总量预估约为122万吨。然而，实际的到港节奏受到长江流域的集装箱落水事故与台风"杜苏芮"接连影响，导致月下旬出现阶段性封航，部分货物卸货延缓。进入8月，国际甲醇装置开工率整体呈现"波动下行，月末反弹"的态势，全月稳定性较差。月初开工率为73.83%，尽管第四周快速回升至82.42%，但频繁的计划外停车贯穿了整个月份。这主要源于伊朗地区装置的频繁短停，以及非伊地区型装置的集中检修与临时停车。然而， 8月中国甲醇进口量显著攀升，实际卸货量高达约175.98万吨。</w:t>
      </w:r>
    </w:p>
    <w:p>
      <w:pPr>
        <w:pStyle w:val="29"/>
        <w:spacing w:after="156"/>
        <w:ind w:firstLine="400"/>
      </w:pPr>
      <w:r>
        <w:rPr>
          <w:rFonts w:hint="eastAsia"/>
        </w:rPr>
        <w:t>9月，国际供应形势发生了根本性转折。从第二周开始，计划外停车事件在全球范围内集中爆发，导致全球开工率大幅下滑7个百分点，至月末的65.03%。国际甲醇供应由松转紧，尤其是中下旬多区域、多套核心装置的同步故障，是导致全球供应急剧收缩、进口预期被大幅下调的主要原因。</w:t>
      </w:r>
    </w:p>
    <w:p>
      <w:pPr>
        <w:pStyle w:val="29"/>
        <w:spacing w:after="156"/>
        <w:ind w:firstLine="400"/>
        <w:rPr>
          <w:rFonts w:hint="eastAsia" w:ascii="思源黑体" w:hAnsi="思源黑体"/>
        </w:rPr>
      </w:pPr>
      <w:r>
        <w:rPr>
          <w:rFonts w:hint="eastAsia" w:ascii="思源黑体" w:hAnsi="思源黑体"/>
        </w:rPr>
        <w:t>当前甲醇市场进口预期的转变，是装置意外检修与规律性季节性因素共同作用的结果。使得市场对未来进口量的判断由“宽松”转向“紧张”，叠加地缘政治冲突，四季度充满了不确定性。</w:t>
      </w:r>
    </w:p>
    <w:p>
      <w:pPr>
        <w:pStyle w:val="29"/>
        <w:spacing w:after="156"/>
        <w:ind w:firstLine="400"/>
        <w:rPr>
          <w:rFonts w:hint="eastAsia" w:ascii="思源黑体" w:hAnsi="思源黑体"/>
        </w:rPr>
      </w:pPr>
    </w:p>
    <w:tbl>
      <w:tblPr>
        <w:tblStyle w:val="15"/>
        <w:tblW w:w="10206" w:type="dxa"/>
        <w:tblInd w:w="-2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5"/>
        <w:gridCol w:w="236"/>
        <w:gridCol w:w="4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bottom w:val="single" w:color="E10C25" w:sz="8" w:space="0"/>
            </w:tcBorders>
            <w:vAlign w:val="center"/>
          </w:tcPr>
          <w:p>
            <w:pPr>
              <w:pStyle w:val="31"/>
              <w:rPr>
                <w:rFonts w:hint="eastAsia" w:ascii="思源黑体" w:hAnsi="思源黑体" w:eastAsia="思源黑体"/>
              </w:rPr>
            </w:pPr>
            <w:bookmarkStart w:id="14" w:name="_Toc141685358"/>
            <w:bookmarkStart w:id="15" w:name="_Toc346"/>
            <w:r>
              <w:rPr>
                <w:rFonts w:hint="eastAsia" w:ascii="思源黑体" w:hAnsi="思源黑体" w:eastAsia="思源黑体"/>
              </w:rPr>
              <w:t>甲醇月度进口量</w:t>
            </w:r>
            <w:bookmarkEnd w:id="14"/>
            <w:bookmarkEnd w:id="15"/>
          </w:p>
        </w:tc>
        <w:tc>
          <w:tcPr>
            <w:tcW w:w="236" w:type="dxa"/>
            <w:vAlign w:val="center"/>
          </w:tcPr>
          <w:p>
            <w:pPr>
              <w:pStyle w:val="10"/>
              <w:jc w:val="right"/>
              <w:rPr>
                <w:rFonts w:hint="eastAsia" w:ascii="思源黑体" w:hAnsi="思源黑体" w:eastAsia="思源黑体"/>
              </w:rPr>
            </w:pPr>
          </w:p>
        </w:tc>
        <w:tc>
          <w:tcPr>
            <w:tcW w:w="4985" w:type="dxa"/>
            <w:tcBorders>
              <w:bottom w:val="single" w:color="E10C25" w:sz="8" w:space="0"/>
            </w:tcBorders>
            <w:vAlign w:val="center"/>
          </w:tcPr>
          <w:p>
            <w:pPr>
              <w:pStyle w:val="31"/>
              <w:rPr>
                <w:rFonts w:hint="eastAsia" w:ascii="思源黑体" w:hAnsi="思源黑体" w:eastAsia="思源黑体"/>
              </w:rPr>
            </w:pPr>
            <w:bookmarkStart w:id="16" w:name="_Toc10882"/>
            <w:r>
              <w:rPr>
                <w:rFonts w:hint="eastAsia" w:ascii="思源黑体" w:hAnsi="思源黑体" w:eastAsia="思源黑体"/>
              </w:rPr>
              <w:t>国际甲醇装置开工率</w:t>
            </w:r>
            <w:bookmarkEnd w:id="1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rPr>
            </w:pPr>
            <w:r>
              <w:rPr>
                <w:rFonts w:hint="eastAsia" w:ascii="思源黑体" w:hAnsi="思源黑体" w:eastAsia="思源黑体"/>
              </w:rPr>
              <w:drawing>
                <wp:inline distT="0" distB="0" distL="0" distR="0">
                  <wp:extent cx="3066415" cy="1423670"/>
                  <wp:effectExtent l="0" t="0" r="635" b="5080"/>
                  <wp:docPr id="2095002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0267"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77991" cy="1429289"/>
                          </a:xfrm>
                          <a:prstGeom prst="rect">
                            <a:avLst/>
                          </a:prstGeom>
                          <a:noFill/>
                        </pic:spPr>
                      </pic:pic>
                    </a:graphicData>
                  </a:graphic>
                </wp:inline>
              </w:drawing>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szCs w:val="20"/>
              </w:rPr>
            </w:pPr>
            <w:r>
              <w:rPr>
                <w:rFonts w:hint="eastAsia" w:ascii="思源黑体" w:hAnsi="思源黑体" w:eastAsia="思源黑体"/>
                <w:szCs w:val="20"/>
              </w:rPr>
              <w:drawing>
                <wp:inline distT="0" distB="0" distL="0" distR="0">
                  <wp:extent cx="3044825" cy="1424305"/>
                  <wp:effectExtent l="0" t="0" r="3175" b="4445"/>
                  <wp:docPr id="18958859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85915"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051409" cy="1428005"/>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资料来源：东海期货研究所、同花顺</w:t>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r>
    </w:tbl>
    <w:p>
      <w:pPr>
        <w:pStyle w:val="29"/>
        <w:spacing w:after="156"/>
        <w:ind w:firstLine="400"/>
        <w:rPr>
          <w:rFonts w:hint="eastAsia" w:ascii="思源黑体" w:hAnsi="思源黑体"/>
        </w:rPr>
      </w:pPr>
    </w:p>
    <w:p>
      <w:pPr>
        <w:pStyle w:val="29"/>
        <w:spacing w:after="156"/>
        <w:ind w:firstLine="400"/>
        <w:rPr>
          <w:rFonts w:hint="eastAsia" w:ascii="思源黑体" w:hAnsi="思源黑体"/>
          <w:color w:val="70AD47" w:themeColor="accent6"/>
          <w14:textFill>
            <w14:solidFill>
              <w14:schemeClr w14:val="accent6"/>
            </w14:solidFill>
          </w14:textFill>
        </w:rPr>
      </w:pPr>
    </w:p>
    <w:p>
      <w:pPr>
        <w:pStyle w:val="27"/>
        <w:spacing w:before="156" w:after="156"/>
      </w:pPr>
      <w:bookmarkStart w:id="17" w:name="_Toc3874"/>
      <w:r>
        <w:rPr>
          <w:rFonts w:hint="eastAsia"/>
        </w:rPr>
        <w:t>需求存量疲软增量可期</w:t>
      </w:r>
      <w:bookmarkEnd w:id="17"/>
    </w:p>
    <w:p>
      <w:pPr>
        <w:pStyle w:val="29"/>
        <w:spacing w:after="156"/>
        <w:ind w:firstLine="400"/>
      </w:pPr>
      <w:bookmarkStart w:id="18" w:name="OLE_LINK10"/>
      <w:r>
        <w:rPr>
          <w:rFonts w:hint="eastAsia"/>
        </w:rPr>
        <w:t>三季度甲醇下游需求支撑有限，甲醇制烯烃开工平均在84.77%，环比二季度下降1%以上传统行业持续低负荷运行，新兴的烯烃产业也因利润和检修问题而增长乏力，导致整体对甲醇的消费支撑不及预期。7-9月甲醇下游消费隆重数据统计791.76万吨，环比二季度890.89万吨下降进100万吨。</w:t>
      </w:r>
    </w:p>
    <w:p>
      <w:pPr>
        <w:pStyle w:val="29"/>
        <w:spacing w:after="156"/>
        <w:ind w:firstLine="400"/>
      </w:pPr>
      <w:r>
        <w:rPr>
          <w:rFonts w:hint="eastAsia"/>
        </w:rPr>
        <w:t>7-8月作为传统需求淡季，下游整体消费环比走弱。传统下游加权开工窄幅波动向下，甲醇制烯烃（MTO）装置开工率环比先跌后涨，但因港口装置停车，严重拖累整体需求。9月烯烃开工率小幅波动，全月受西北装置停车与华东装置重启相互对冲的影响。传统下游方面表现各异整体开工偏弱，变动有限。山东联泓新材料100万吨/年MTO装置将于10月中下旬投产。这一大型项目的落地，预计将形成可观且稳定的甲醇外采需求。</w:t>
      </w:r>
    </w:p>
    <w:p>
      <w:pPr>
        <w:pStyle w:val="29"/>
        <w:spacing w:after="156"/>
        <w:ind w:firstLine="400"/>
      </w:pPr>
      <w:r>
        <w:rPr>
          <w:rFonts w:hint="eastAsia"/>
        </w:rPr>
        <w:t>四季度</w:t>
      </w:r>
      <w:r>
        <w:t>一方面是传统淡季与利润不佳对存量需求的抑制，另一方面是大型MTO新装置投产带来的新增需求驱动。 </w:t>
      </w:r>
      <w:r>
        <w:rPr>
          <w:rFonts w:hint="eastAsia"/>
        </w:rPr>
        <w:t>关注</w:t>
      </w:r>
      <w:r>
        <w:t>新装置投产的具体进度和其实际外采量的释放节奏，将成为影响四季度甲醇价格走势的关键因素。</w:t>
      </w:r>
    </w:p>
    <w:bookmarkEnd w:id="18"/>
    <w:tbl>
      <w:tblPr>
        <w:tblStyle w:val="15"/>
        <w:tblW w:w="10206" w:type="dxa"/>
        <w:tblInd w:w="-2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5"/>
        <w:gridCol w:w="236"/>
        <w:gridCol w:w="4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bottom w:val="single" w:color="E10C25" w:sz="8" w:space="0"/>
            </w:tcBorders>
            <w:vAlign w:val="center"/>
          </w:tcPr>
          <w:p>
            <w:pPr>
              <w:pStyle w:val="31"/>
              <w:rPr>
                <w:rFonts w:hint="eastAsia" w:ascii="思源黑体" w:hAnsi="思源黑体" w:eastAsia="思源黑体"/>
              </w:rPr>
            </w:pPr>
            <w:bookmarkStart w:id="19" w:name="_Toc141685360"/>
            <w:bookmarkStart w:id="20" w:name="_Toc11330"/>
            <w:r>
              <w:rPr>
                <w:rFonts w:hint="eastAsia" w:ascii="思源黑体" w:hAnsi="思源黑体" w:eastAsia="思源黑体"/>
              </w:rPr>
              <w:t>甲醇下游MTO开工率</w:t>
            </w:r>
            <w:bookmarkEnd w:id="19"/>
            <w:bookmarkEnd w:id="20"/>
          </w:p>
        </w:tc>
        <w:tc>
          <w:tcPr>
            <w:tcW w:w="236" w:type="dxa"/>
            <w:vAlign w:val="center"/>
          </w:tcPr>
          <w:p>
            <w:pPr>
              <w:pStyle w:val="10"/>
              <w:jc w:val="right"/>
              <w:rPr>
                <w:rFonts w:hint="eastAsia" w:ascii="思源黑体" w:hAnsi="思源黑体" w:eastAsia="思源黑体"/>
              </w:rPr>
            </w:pPr>
          </w:p>
        </w:tc>
        <w:tc>
          <w:tcPr>
            <w:tcW w:w="4985" w:type="dxa"/>
            <w:tcBorders>
              <w:bottom w:val="single" w:color="E10C25" w:sz="8" w:space="0"/>
            </w:tcBorders>
            <w:vAlign w:val="center"/>
          </w:tcPr>
          <w:p>
            <w:pPr>
              <w:pStyle w:val="31"/>
              <w:rPr>
                <w:rFonts w:hint="eastAsia" w:ascii="思源黑体" w:hAnsi="思源黑体" w:eastAsia="思源黑体"/>
              </w:rPr>
            </w:pPr>
            <w:bookmarkStart w:id="21" w:name="_Toc141685361"/>
            <w:bookmarkStart w:id="22" w:name="_Toc30668"/>
            <w:r>
              <w:rPr>
                <w:rFonts w:hint="eastAsia" w:ascii="思源黑体" w:hAnsi="思源黑体" w:eastAsia="思源黑体"/>
              </w:rPr>
              <w:t>甲醇</w:t>
            </w:r>
            <w:bookmarkEnd w:id="21"/>
            <w:r>
              <w:rPr>
                <w:rFonts w:hint="eastAsia" w:ascii="思源黑体" w:hAnsi="思源黑体" w:eastAsia="思源黑体"/>
              </w:rPr>
              <w:t>下游消费量</w:t>
            </w:r>
            <w:bookmarkEnd w:id="2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rPr>
            </w:pPr>
            <w:r>
              <w:rPr>
                <w:rFonts w:hint="eastAsia" w:ascii="思源黑体" w:hAnsi="思源黑体" w:eastAsia="思源黑体"/>
              </w:rPr>
              <w:drawing>
                <wp:inline distT="0" distB="0" distL="0" distR="0">
                  <wp:extent cx="2851785" cy="1323340"/>
                  <wp:effectExtent l="0" t="0" r="5715" b="0"/>
                  <wp:docPr id="12036912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1287" name="图片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57911" cy="1326771"/>
                          </a:xfrm>
                          <a:prstGeom prst="rect">
                            <a:avLst/>
                          </a:prstGeom>
                          <a:noFill/>
                        </pic:spPr>
                      </pic:pic>
                    </a:graphicData>
                  </a:graphic>
                </wp:inline>
              </w:drawing>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szCs w:val="20"/>
              </w:rPr>
            </w:pPr>
            <w:r>
              <w:rPr>
                <w:rFonts w:hint="eastAsia" w:ascii="思源黑体" w:hAnsi="思源黑体" w:eastAsia="思源黑体"/>
                <w:szCs w:val="20"/>
              </w:rPr>
              <w:drawing>
                <wp:inline distT="0" distB="0" distL="0" distR="0">
                  <wp:extent cx="3005455" cy="1391285"/>
                  <wp:effectExtent l="0" t="0" r="4445" b="0"/>
                  <wp:docPr id="161015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558" name="图片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16530" cy="1396592"/>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r>
    </w:tbl>
    <w:p>
      <w:pPr>
        <w:pStyle w:val="29"/>
        <w:spacing w:after="156"/>
        <w:ind w:firstLine="0" w:firstLineChars="0"/>
      </w:pPr>
      <w:bookmarkStart w:id="23" w:name="_Toc139438398"/>
    </w:p>
    <w:p>
      <w:pPr>
        <w:pStyle w:val="27"/>
        <w:spacing w:before="156" w:after="156"/>
      </w:pPr>
      <w:bookmarkStart w:id="24" w:name="_Toc24885"/>
      <w:r>
        <w:rPr>
          <w:rFonts w:hint="eastAsia"/>
        </w:rPr>
        <w:t>库存先承压后缓解</w:t>
      </w:r>
      <w:bookmarkEnd w:id="24"/>
    </w:p>
    <w:p>
      <w:pPr>
        <w:pStyle w:val="29"/>
        <w:spacing w:after="156"/>
        <w:ind w:firstLine="400"/>
      </w:pPr>
      <w:bookmarkStart w:id="25" w:name="OLE_LINK16"/>
      <w:r>
        <w:rPr>
          <w:rFonts w:hint="eastAsia"/>
        </w:rPr>
        <w:t>三季度甲醇加速累库，呈现内地强港口弱的分化局面。截至2025年9月24日，中国甲醇港口库存总量在149.22万吨，生产企业库存31.99万吨，总库存181.21万吨，环比6月底101.21万吨上涨80万吨。其中港口库存上涨82.17万吨。</w:t>
      </w:r>
    </w:p>
    <w:p>
      <w:pPr>
        <w:pStyle w:val="29"/>
        <w:spacing w:after="156"/>
        <w:ind w:firstLine="400"/>
      </w:pPr>
      <w:r>
        <w:rPr>
          <w:rFonts w:hint="eastAsia"/>
        </w:rPr>
        <w:t>内地与港口甲醇市场呈现明显的库存分化态势。内地市场方面，西北地区因前期部分生产装置检修，加之当地烯烃工厂维持外采，供应格局相对偏紧，价格表现较为坚挺。反观港口市场，由于进口货源持续大量到港，而华东地区下游需求表现疲软——部分烯烃企业降负荷运行甚至停车，导致港口库存显著累积，价格持续承压下行。</w:t>
      </w:r>
    </w:p>
    <w:p>
      <w:pPr>
        <w:pStyle w:val="29"/>
        <w:spacing w:after="156"/>
        <w:ind w:firstLine="400"/>
      </w:pPr>
      <w:r>
        <w:rPr>
          <w:rFonts w:hint="eastAsia"/>
        </w:rPr>
        <w:t>四季度在进口供应缩减与MTO新增投产的双重作用下，市场供需结构将得到显著改善。因此，预计从11月开始，持续高位的港口库存压力将得到有效遏制，并逐渐进入去库周期，从而对甲醇价格形成基本面支撑。</w:t>
      </w:r>
    </w:p>
    <w:bookmarkEnd w:id="25"/>
    <w:tbl>
      <w:tblPr>
        <w:tblStyle w:val="15"/>
        <w:tblW w:w="10206" w:type="dxa"/>
        <w:tblInd w:w="-2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5"/>
        <w:gridCol w:w="236"/>
        <w:gridCol w:w="4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bottom w:val="single" w:color="E10C25" w:sz="8" w:space="0"/>
            </w:tcBorders>
            <w:vAlign w:val="center"/>
          </w:tcPr>
          <w:p>
            <w:pPr>
              <w:pStyle w:val="31"/>
              <w:rPr>
                <w:rFonts w:hint="eastAsia" w:ascii="思源黑体" w:hAnsi="思源黑体" w:eastAsia="思源黑体"/>
              </w:rPr>
            </w:pPr>
            <w:bookmarkStart w:id="26" w:name="_Toc2432"/>
            <w:r>
              <w:rPr>
                <w:rFonts w:hint="eastAsia" w:ascii="思源黑体" w:hAnsi="思源黑体" w:eastAsia="思源黑体"/>
              </w:rPr>
              <w:t>甲醇港口库存</w:t>
            </w:r>
            <w:bookmarkEnd w:id="26"/>
          </w:p>
        </w:tc>
        <w:tc>
          <w:tcPr>
            <w:tcW w:w="236" w:type="dxa"/>
            <w:vAlign w:val="center"/>
          </w:tcPr>
          <w:p>
            <w:pPr>
              <w:pStyle w:val="10"/>
              <w:jc w:val="right"/>
              <w:rPr>
                <w:rFonts w:hint="eastAsia" w:ascii="思源黑体" w:hAnsi="思源黑体" w:eastAsia="思源黑体"/>
              </w:rPr>
            </w:pPr>
          </w:p>
        </w:tc>
        <w:tc>
          <w:tcPr>
            <w:tcW w:w="4985" w:type="dxa"/>
            <w:tcBorders>
              <w:bottom w:val="single" w:color="E10C25" w:sz="8" w:space="0"/>
            </w:tcBorders>
            <w:vAlign w:val="center"/>
          </w:tcPr>
          <w:p>
            <w:pPr>
              <w:pStyle w:val="31"/>
              <w:rPr>
                <w:rFonts w:hint="eastAsia" w:ascii="思源黑体" w:hAnsi="思源黑体" w:eastAsia="思源黑体"/>
              </w:rPr>
            </w:pPr>
            <w:bookmarkStart w:id="27" w:name="_Toc861"/>
            <w:r>
              <w:rPr>
                <w:rFonts w:hint="eastAsia" w:ascii="思源黑体" w:hAnsi="思源黑体" w:eastAsia="思源黑体"/>
              </w:rPr>
              <w:t>甲醇生产企业库存</w:t>
            </w:r>
            <w:bookmarkEnd w:id="27"/>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rPr>
            </w:pPr>
            <w:r>
              <w:rPr>
                <w:rFonts w:hint="eastAsia" w:ascii="思源黑体" w:hAnsi="思源黑体" w:eastAsia="思源黑体"/>
              </w:rPr>
              <w:drawing>
                <wp:inline distT="0" distB="0" distL="0" distR="0">
                  <wp:extent cx="3034665" cy="1408430"/>
                  <wp:effectExtent l="0" t="0" r="0" b="1270"/>
                  <wp:docPr id="15241647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64730"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53296" cy="1417478"/>
                          </a:xfrm>
                          <a:prstGeom prst="rect">
                            <a:avLst/>
                          </a:prstGeom>
                          <a:noFill/>
                        </pic:spPr>
                      </pic:pic>
                    </a:graphicData>
                  </a:graphic>
                </wp:inline>
              </w:drawing>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szCs w:val="20"/>
              </w:rPr>
            </w:pPr>
            <w:r>
              <w:rPr>
                <w:rFonts w:hint="eastAsia" w:ascii="思源黑体" w:hAnsi="思源黑体" w:eastAsia="思源黑体"/>
                <w:szCs w:val="20"/>
              </w:rPr>
              <w:drawing>
                <wp:inline distT="0" distB="0" distL="0" distR="0">
                  <wp:extent cx="3008630" cy="1392555"/>
                  <wp:effectExtent l="0" t="0" r="1270" b="0"/>
                  <wp:docPr id="17491996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99687" name="图片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44482" cy="1409533"/>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r>
    </w:tbl>
    <w:p>
      <w:pPr>
        <w:pStyle w:val="29"/>
        <w:spacing w:after="156"/>
        <w:ind w:firstLine="0" w:firstLineChars="0"/>
      </w:pPr>
    </w:p>
    <w:bookmarkEnd w:id="23"/>
    <w:p>
      <w:pPr>
        <w:pStyle w:val="27"/>
        <w:spacing w:before="156" w:after="156"/>
      </w:pPr>
      <w:bookmarkStart w:id="28" w:name="_Toc29503"/>
      <w:r>
        <w:rPr>
          <w:rFonts w:hint="eastAsia"/>
        </w:rPr>
        <w:t>成本支撑较强</w:t>
      </w:r>
      <w:bookmarkEnd w:id="28"/>
    </w:p>
    <w:bookmarkEnd w:id="1"/>
    <w:p>
      <w:pPr>
        <w:pStyle w:val="29"/>
        <w:spacing w:after="156"/>
        <w:ind w:firstLine="400"/>
      </w:pPr>
      <w:r>
        <w:rPr>
          <w:rFonts w:hint="eastAsia"/>
        </w:rPr>
        <w:t>三季度动力煤价格在旺季需求支持和“反内卷“政策影响下涨幅显著。根据同花顺数据统计显示，2025年6月30日，内蒙古5500大卡动力煤价格为480元/吨，截止9月30日价格为585元/吨，季度累计上涨105元，涨幅达21.88%。</w:t>
      </w:r>
    </w:p>
    <w:p>
      <w:pPr>
        <w:pStyle w:val="29"/>
        <w:spacing w:after="156"/>
        <w:ind w:firstLine="400"/>
      </w:pPr>
      <w:r>
        <w:rPr>
          <w:rFonts w:hint="eastAsia"/>
        </w:rPr>
        <w:t>动力煤价格的持续上涨显著推高了甲醇生产成本，为甲醇价格提供了坚实的成本支撑，这也是三季度甲醇价格在基本面偏弱情况下仍能保持相对强势的重要原因之一。然而，煤炭价格的上涨也挤压了甲醇的生产利润。数据显示，三季度煤制甲醇的利润环比下滑了约60元/吨。展望四季度，冬季的季节性需求旺季预计将继续为市场提供支持，成本因素仍将是影响甲醇价格运行的重要变量之一。</w:t>
      </w:r>
    </w:p>
    <w:p>
      <w:pPr>
        <w:pStyle w:val="29"/>
        <w:spacing w:after="156"/>
        <w:ind w:firstLine="400"/>
      </w:pPr>
    </w:p>
    <w:tbl>
      <w:tblPr>
        <w:tblStyle w:val="15"/>
        <w:tblW w:w="10206" w:type="dxa"/>
        <w:tblInd w:w="-22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5"/>
        <w:gridCol w:w="236"/>
        <w:gridCol w:w="4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bottom w:val="single" w:color="E10C25" w:sz="8" w:space="0"/>
            </w:tcBorders>
            <w:vAlign w:val="center"/>
          </w:tcPr>
          <w:p>
            <w:pPr>
              <w:pStyle w:val="31"/>
              <w:rPr>
                <w:rFonts w:hint="eastAsia" w:ascii="思源黑体" w:hAnsi="思源黑体" w:eastAsia="思源黑体"/>
              </w:rPr>
            </w:pPr>
            <w:bookmarkStart w:id="29" w:name="_Toc141685362"/>
            <w:bookmarkStart w:id="30" w:name="_Toc9481"/>
            <w:r>
              <w:rPr>
                <w:rFonts w:hint="eastAsia" w:ascii="思源黑体" w:hAnsi="思源黑体" w:eastAsia="思源黑体"/>
              </w:rPr>
              <w:t>内蒙古</w:t>
            </w:r>
            <w:r>
              <w:rPr>
                <w:rFonts w:ascii="思源黑体" w:hAnsi="思源黑体" w:eastAsia="思源黑体"/>
              </w:rPr>
              <w:t>乌海</w:t>
            </w:r>
            <w:r>
              <w:rPr>
                <w:rFonts w:hint="eastAsia" w:ascii="思源黑体" w:hAnsi="思源黑体" w:eastAsia="思源黑体"/>
              </w:rPr>
              <w:t>5500大卡</w:t>
            </w:r>
            <w:r>
              <w:rPr>
                <w:rFonts w:ascii="思源黑体" w:hAnsi="思源黑体" w:eastAsia="思源黑体"/>
              </w:rPr>
              <w:t>动力煤价格</w:t>
            </w:r>
            <w:bookmarkEnd w:id="29"/>
            <w:bookmarkEnd w:id="30"/>
          </w:p>
        </w:tc>
        <w:tc>
          <w:tcPr>
            <w:tcW w:w="236" w:type="dxa"/>
            <w:vAlign w:val="center"/>
          </w:tcPr>
          <w:p>
            <w:pPr>
              <w:pStyle w:val="10"/>
              <w:jc w:val="right"/>
              <w:rPr>
                <w:rFonts w:hint="eastAsia" w:ascii="思源黑体" w:hAnsi="思源黑体" w:eastAsia="思源黑体"/>
              </w:rPr>
            </w:pPr>
          </w:p>
        </w:tc>
        <w:tc>
          <w:tcPr>
            <w:tcW w:w="4985" w:type="dxa"/>
            <w:tcBorders>
              <w:bottom w:val="single" w:color="E10C25" w:sz="8" w:space="0"/>
            </w:tcBorders>
            <w:vAlign w:val="center"/>
          </w:tcPr>
          <w:p>
            <w:pPr>
              <w:pStyle w:val="31"/>
              <w:rPr>
                <w:rFonts w:hint="eastAsia" w:ascii="思源黑体" w:hAnsi="思源黑体" w:eastAsia="思源黑体"/>
              </w:rPr>
            </w:pPr>
            <w:bookmarkStart w:id="31" w:name="_Toc141685363"/>
            <w:bookmarkStart w:id="32" w:name="_Toc32169"/>
            <w:r>
              <w:rPr>
                <w:rFonts w:hint="eastAsia" w:ascii="思源黑体" w:hAnsi="思源黑体" w:eastAsia="思源黑体"/>
              </w:rPr>
              <w:t>煤制</w:t>
            </w:r>
            <w:r>
              <w:rPr>
                <w:rFonts w:ascii="思源黑体" w:hAnsi="思源黑体" w:eastAsia="思源黑体"/>
              </w:rPr>
              <w:t>甲醇</w:t>
            </w:r>
            <w:r>
              <w:rPr>
                <w:rFonts w:hint="eastAsia" w:ascii="思源黑体" w:hAnsi="思源黑体" w:eastAsia="思源黑体"/>
              </w:rPr>
              <w:t>成本</w:t>
            </w:r>
            <w:r>
              <w:rPr>
                <w:rFonts w:ascii="思源黑体" w:hAnsi="思源黑体" w:eastAsia="思源黑体"/>
              </w:rPr>
              <w:t>利润</w:t>
            </w:r>
            <w:bookmarkEnd w:id="31"/>
            <w:bookmarkEnd w:id="3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8" w:hRule="atLeast"/>
        </w:trPr>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rPr>
            </w:pPr>
            <w:r>
              <w:rPr>
                <w:rFonts w:hint="eastAsia" w:ascii="思源黑体" w:hAnsi="思源黑体" w:eastAsia="思源黑体"/>
              </w:rPr>
              <w:drawing>
                <wp:inline distT="0" distB="0" distL="0" distR="0">
                  <wp:extent cx="3049270" cy="1415415"/>
                  <wp:effectExtent l="0" t="0" r="0" b="0"/>
                  <wp:docPr id="7592237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23727" name="图片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64350" cy="1422609"/>
                          </a:xfrm>
                          <a:prstGeom prst="rect">
                            <a:avLst/>
                          </a:prstGeom>
                          <a:noFill/>
                        </pic:spPr>
                      </pic:pic>
                    </a:graphicData>
                  </a:graphic>
                </wp:inline>
              </w:drawing>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bottom w:val="single" w:color="E10C25" w:sz="8" w:space="0"/>
            </w:tcBorders>
            <w:vAlign w:val="center"/>
          </w:tcPr>
          <w:p>
            <w:pPr>
              <w:pStyle w:val="10"/>
              <w:jc w:val="center"/>
              <w:rPr>
                <w:rFonts w:hint="eastAsia" w:ascii="思源黑体" w:hAnsi="思源黑体" w:eastAsia="思源黑体"/>
                <w:szCs w:val="20"/>
              </w:rPr>
            </w:pPr>
            <w:r>
              <w:rPr>
                <w:rFonts w:hint="eastAsia" w:ascii="思源黑体" w:hAnsi="思源黑体" w:eastAsia="思源黑体"/>
                <w:szCs w:val="20"/>
              </w:rPr>
              <w:drawing>
                <wp:inline distT="0" distB="0" distL="0" distR="0">
                  <wp:extent cx="2939415" cy="1360805"/>
                  <wp:effectExtent l="0" t="0" r="0" b="0"/>
                  <wp:docPr id="1478601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0116" name="图片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4507" cy="1363245"/>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w:t>
            </w:r>
            <w:r>
              <w:rPr>
                <w:rFonts w:ascii="思源黑体" w:hAnsi="思源黑体" w:eastAsia="思源黑体"/>
              </w:rPr>
              <w:t>同花顺</w:t>
            </w:r>
          </w:p>
        </w:tc>
        <w:tc>
          <w:tcPr>
            <w:tcW w:w="236" w:type="dxa"/>
            <w:vAlign w:val="center"/>
          </w:tcPr>
          <w:p>
            <w:pPr>
              <w:pStyle w:val="10"/>
              <w:jc w:val="right"/>
              <w:rPr>
                <w:rFonts w:hint="eastAsia" w:ascii="思源黑体" w:hAnsi="思源黑体" w:eastAsia="思源黑体"/>
              </w:rPr>
            </w:pPr>
          </w:p>
        </w:tc>
        <w:tc>
          <w:tcPr>
            <w:tcW w:w="4985" w:type="dxa"/>
            <w:tcBorders>
              <w:top w:val="single" w:color="E10C25" w:sz="8" w:space="0"/>
            </w:tcBorders>
            <w:vAlign w:val="center"/>
          </w:tcPr>
          <w:p>
            <w:pPr>
              <w:pStyle w:val="30"/>
              <w:rPr>
                <w:rFonts w:hint="eastAsia" w:ascii="思源黑体" w:hAnsi="思源黑体" w:eastAsia="思源黑体"/>
              </w:rPr>
            </w:pPr>
            <w:r>
              <w:rPr>
                <w:rFonts w:hint="eastAsia" w:ascii="思源黑体" w:hAnsi="思源黑体" w:eastAsia="思源黑体"/>
              </w:rPr>
              <w:t>资料来源：东海期货研究所，隆众</w:t>
            </w:r>
          </w:p>
        </w:tc>
      </w:tr>
    </w:tbl>
    <w:p>
      <w:pPr>
        <w:pStyle w:val="29"/>
        <w:spacing w:after="156"/>
        <w:ind w:firstLine="0" w:firstLineChars="0"/>
      </w:pPr>
    </w:p>
    <w:p>
      <w:pPr>
        <w:pStyle w:val="26"/>
      </w:pPr>
      <w:bookmarkStart w:id="33" w:name="_Toc139438399"/>
      <w:bookmarkStart w:id="34" w:name="_Toc7"/>
      <w:r>
        <w:rPr>
          <w:rFonts w:hint="eastAsia"/>
        </w:rPr>
        <w:t>总结</w:t>
      </w:r>
      <w:bookmarkEnd w:id="33"/>
      <w:bookmarkEnd w:id="34"/>
    </w:p>
    <w:p>
      <w:pPr>
        <w:pStyle w:val="29"/>
        <w:spacing w:after="156"/>
        <w:ind w:firstLine="400"/>
      </w:pPr>
      <w:bookmarkStart w:id="35" w:name="OLE_LINK6"/>
      <w:bookmarkStart w:id="36" w:name="_Hlk189743458"/>
      <w:r>
        <w:rPr>
          <w:rFonts w:hint="eastAsia"/>
        </w:rPr>
        <w:t>2025年三季度，国内甲醇市场整体呈供强需弱运行格局。供应方面，虽然国内供应出现下滑，但进口大幅上行使得整体供应出现增长。需求端整体表现疲软，传统下游处于季节性淡季，烯烃装置也因利润因素开工有限。这造成了内地强港口弱的分化，整体库存显著上行创历史新高。成本端，动力煤价格显著上涨，在挤压行业利润的同时，也为甲醇价格提供了有力支撑。</w:t>
      </w:r>
    </w:p>
    <w:p>
      <w:pPr>
        <w:pStyle w:val="29"/>
        <w:spacing w:after="156"/>
        <w:ind w:firstLine="400"/>
      </w:pPr>
      <w:r>
        <w:rPr>
          <w:rFonts w:hint="eastAsia"/>
        </w:rPr>
        <w:t>展望四季度，供应端预计将逐步恢复，但需关注冬季限气政策可能带来的制约；进口量受国际装置运行状况影响，预期出现收紧态势。需求端有望迎来改善，新增大型MTO装置计划投产，将带来新的需求增长点。在进口减少与新增需求的共同作用下，港口库存压力预计将逐步缓解。成本方面，冬季用煤旺季将继续为甲醇价格提供底部支撑。</w:t>
      </w:r>
    </w:p>
    <w:p>
      <w:pPr>
        <w:pStyle w:val="29"/>
        <w:spacing w:after="156"/>
        <w:ind w:firstLine="400"/>
      </w:pPr>
      <w:r>
        <w:rPr>
          <w:rFonts w:hint="eastAsia"/>
        </w:rPr>
        <w:t>总体来看，四季度甲醇市场在进口收紧与新增需求的共同推动下，供需格局有望改善，库存压力将得到缓解，价格重心预计震荡上移，但需密切关注需求端的实际兑现情况。</w:t>
      </w:r>
    </w:p>
    <w:p>
      <w:pPr>
        <w:pStyle w:val="29"/>
        <w:spacing w:after="156"/>
        <w:ind w:firstLine="400"/>
      </w:pPr>
      <w:r>
        <w:rPr>
          <w:rFonts w:hint="eastAsia"/>
        </w:rPr>
        <w:t>操作建议： MA2601震荡区间逢低多</w:t>
      </w:r>
    </w:p>
    <w:bookmarkEnd w:id="35"/>
    <w:p>
      <w:pPr>
        <w:pStyle w:val="29"/>
        <w:spacing w:after="156"/>
        <w:ind w:firstLine="400"/>
      </w:pPr>
      <w:r>
        <w:rPr>
          <w:rFonts w:hint="eastAsia"/>
        </w:rPr>
        <w:t>风险： M</w:t>
      </w:r>
      <w:r>
        <w:t>TO</w:t>
      </w:r>
      <w:r>
        <w:rPr>
          <w:rFonts w:hint="eastAsia"/>
        </w:rPr>
        <w:t>开工，进口，上游装置</w:t>
      </w:r>
      <w:r>
        <w:t>。宏观、原油、</w:t>
      </w:r>
      <w:r>
        <w:rPr>
          <w:rFonts w:hint="eastAsia"/>
        </w:rPr>
        <w:t>关税、</w:t>
      </w:r>
      <w:r>
        <w:t>政策风险等</w:t>
      </w:r>
      <w:bookmarkEnd w:id="36"/>
    </w:p>
    <w:p>
      <w:pPr>
        <w:pStyle w:val="29"/>
        <w:spacing w:after="156"/>
        <w:ind w:firstLine="400"/>
      </w:pPr>
    </w:p>
    <w:p>
      <w:pPr>
        <w:pStyle w:val="29"/>
        <w:spacing w:after="156" w:line="360" w:lineRule="exact"/>
        <w:ind w:firstLine="0" w:firstLineChars="0"/>
        <w:sectPr>
          <w:pgSz w:w="11906" w:h="16838"/>
          <w:pgMar w:top="1134" w:right="567" w:bottom="851" w:left="3402" w:header="851" w:footer="851" w:gutter="0"/>
          <w:cols w:space="425" w:num="1"/>
          <w:docGrid w:type="lines" w:linePitch="312" w:charSpace="0"/>
        </w:sectPr>
      </w:pPr>
    </w:p>
    <w:p>
      <w:pPr>
        <w:pStyle w:val="10"/>
        <w:spacing w:before="156" w:beforeLines="50" w:after="40" w:line="540" w:lineRule="auto"/>
        <w:rPr>
          <w:rFonts w:hint="eastAsia" w:ascii="思源黑体" w:hAnsi="思源黑体" w:eastAsia="思源黑体"/>
          <w:b/>
          <w:bCs/>
          <w:color w:val="D70C25"/>
          <w:sz w:val="24"/>
          <w:szCs w:val="22"/>
        </w:rPr>
      </w:pPr>
      <w:r>
        <w:rPr>
          <w:rFonts w:hint="eastAsia" w:ascii="思源黑体" w:hAnsi="思源黑体" w:eastAsia="思源黑体"/>
          <w:b/>
          <w:bCs/>
          <w:color w:val="D70C25"/>
          <w:sz w:val="24"/>
          <w:szCs w:val="22"/>
        </w:rPr>
        <w:t>重要声明</w:t>
      </w:r>
    </w:p>
    <w:p>
      <w:pPr>
        <w:pStyle w:val="10"/>
        <w:spacing w:line="540" w:lineRule="auto"/>
        <w:ind w:firstLine="400" w:firstLineChars="200"/>
        <w:rPr>
          <w:rFonts w:hint="eastAsia" w:ascii="思源黑体" w:hAnsi="思源黑体" w:eastAsia="思源黑体"/>
          <w:szCs w:val="20"/>
        </w:rPr>
      </w:pPr>
      <w:r>
        <w:rPr>
          <w:rFonts w:hint="eastAsia" w:ascii="思源黑体" w:hAnsi="思源黑体" w:eastAsia="思源黑体"/>
          <w:szCs w:val="20"/>
        </w:rPr>
        <w:t>本报告由东海期货有限责任公司研究所团队完成，报告中信息均源于公开可获得资料。东海期货力求报告内容的客观、公正，但对这些信息的准确性及完整性不做任何保证，也不保证所包含的信息和建议不会发生任何变更。报告中的观点、结论和建议等全部内容只提供给客户做参考之用，并不构成对客户的投资建议，也未考虑个别客户特殊的投资目标、财务状况或需要，客户不应单纯依靠本报告而取代个人的独立判断。在任何情况下，本公司不对任何人因使用本报告中的任何内容所导致的任何损失负任何责任，交易者需自行承担风险。本报告版权仅为东海期货有限责任公司研究所所有，未经书面许可，任何机构和个人不得以任何形式翻版、复制发布，如引用、转载、刊发，须注明出处为东海期货有限责任公司。</w:t>
      </w:r>
    </w:p>
    <w:p>
      <w:pPr>
        <w:pStyle w:val="10"/>
        <w:spacing w:line="276" w:lineRule="auto"/>
        <w:ind w:firstLine="400" w:firstLineChars="200"/>
        <w:rPr>
          <w:rFonts w:hint="eastAsia" w:ascii="思源黑体" w:hAnsi="思源黑体" w:eastAsia="思源黑体"/>
          <w:szCs w:val="20"/>
        </w:rPr>
      </w:pPr>
    </w:p>
    <w:tbl>
      <w:tblPr>
        <w:tblStyle w:val="15"/>
        <w:tblW w:w="538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170" w:type="dxa"/>
        </w:tblCellMar>
      </w:tblPr>
      <w:tblGrid>
        <w:gridCol w:w="53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10"/>
              <w:autoSpaceDE w:val="0"/>
              <w:autoSpaceDN w:val="0"/>
              <w:rPr>
                <w:rFonts w:hint="eastAsia" w:ascii="思源黑体" w:hAnsi="思源黑体" w:eastAsia="思源黑体"/>
                <w:b/>
                <w:bCs/>
                <w:color w:val="D70C25"/>
              </w:rPr>
            </w:pPr>
            <w:r>
              <w:rPr>
                <w:rFonts w:hint="eastAsia" w:ascii="思源黑体" w:hAnsi="思源黑体" w:eastAsia="思源黑体"/>
                <w:b/>
                <w:bCs/>
                <w:color w:val="C00000"/>
              </w:rPr>
              <w:t>东海期货有限责任公司研究所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10"/>
              <w:autoSpaceDE w:val="0"/>
              <w:autoSpaceDN w:val="0"/>
              <w:rPr>
                <w:rFonts w:hint="eastAsia" w:ascii="思源黑体" w:hAnsi="思源黑体" w:eastAsia="思源黑体"/>
              </w:rPr>
            </w:pPr>
            <w:r>
              <w:rPr>
                <w:rFonts w:hint="eastAsia" w:ascii="思源黑体" w:hAnsi="思源黑体" w:eastAsia="思源黑体"/>
              </w:rPr>
              <w:t>地址：上海浦东新区峨山路505号东方纯一大厦10楼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10"/>
              <w:autoSpaceDE w:val="0"/>
              <w:autoSpaceDN w:val="0"/>
              <w:rPr>
                <w:rFonts w:hint="eastAsia" w:ascii="思源黑体" w:hAnsi="思源黑体" w:eastAsia="思源黑体"/>
              </w:rPr>
            </w:pPr>
            <w:r>
              <w:rPr>
                <w:rFonts w:hint="eastAsia" w:ascii="思源黑体" w:hAnsi="思源黑体" w:eastAsia="思源黑体"/>
              </w:rPr>
              <w:t>联系人：贾利军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386" w:type="dxa"/>
          </w:tcPr>
          <w:p>
            <w:pPr>
              <w:pStyle w:val="10"/>
              <w:autoSpaceDE w:val="0"/>
              <w:autoSpaceDN w:val="0"/>
              <w:rPr>
                <w:rFonts w:hint="eastAsia" w:ascii="思源黑体" w:hAnsi="思源黑体" w:eastAsia="思源黑体"/>
              </w:rPr>
            </w:pPr>
            <w:r>
              <w:rPr>
                <w:rFonts w:hint="eastAsia" w:ascii="思源黑体" w:hAnsi="思源黑体" w:eastAsia="思源黑体"/>
              </w:rPr>
              <w:t>电话：021-68756925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10"/>
              <w:autoSpaceDE w:val="0"/>
              <w:autoSpaceDN w:val="0"/>
              <w:rPr>
                <w:rFonts w:hint="eastAsia" w:ascii="思源黑体" w:hAnsi="思源黑体" w:eastAsia="思源黑体"/>
              </w:rPr>
            </w:pPr>
            <w:r>
              <w:rPr>
                <w:rFonts w:hint="eastAsia" w:ascii="思源黑体" w:hAnsi="思源黑体" w:eastAsia="思源黑体"/>
              </w:rPr>
              <w:t>网址：www.qh168.com.cn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170" w:type="dxa"/>
          </w:tblCellMar>
        </w:tblPrEx>
        <w:tc>
          <w:tcPr>
            <w:tcW w:w="5386" w:type="dxa"/>
          </w:tcPr>
          <w:p>
            <w:pPr>
              <w:pStyle w:val="10"/>
              <w:autoSpaceDE w:val="0"/>
              <w:autoSpaceDN w:val="0"/>
              <w:rPr>
                <w:rFonts w:hint="eastAsia" w:ascii="思源黑体" w:hAnsi="思源黑体" w:eastAsia="思源黑体"/>
              </w:rPr>
            </w:pPr>
            <w:r>
              <w:rPr>
                <w:rFonts w:hint="eastAsia" w:ascii="思源黑体" w:hAnsi="思源黑体" w:eastAsia="思源黑体"/>
              </w:rPr>
              <w:t>E-MAIL:Jialj@qh168.com.cn</w:t>
            </w:r>
          </w:p>
        </w:tc>
      </w:tr>
    </w:tbl>
    <w:p>
      <w:pPr>
        <w:pStyle w:val="10"/>
        <w:spacing w:before="156" w:beforeLines="50" w:after="40" w:line="320" w:lineRule="exact"/>
        <w:ind w:firstLine="400" w:firstLineChars="200"/>
        <w:rPr>
          <w:rFonts w:hint="eastAsia" w:ascii="思源黑体" w:hAnsi="思源黑体"/>
        </w:rPr>
      </w:pPr>
    </w:p>
    <w:sectPr>
      <w:pgSz w:w="11906" w:h="16838"/>
      <w:pgMar w:top="1134" w:right="567" w:bottom="851" w:left="567" w:header="850"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方正兰亭圆简体">
    <w:altName w:val="微软雅黑"/>
    <w:panose1 w:val="00000000000000000000"/>
    <w:charset w:val="86"/>
    <w:family w:val="auto"/>
    <w:pitch w:val="default"/>
    <w:sig w:usb0="00000000" w:usb1="00000000" w:usb2="00000012" w:usb3="00000000" w:csb0="00040001" w:csb1="00000000"/>
  </w:font>
  <w:font w:name="思源黑体">
    <w:altName w:val="宋体"/>
    <w:panose1 w:val="020B0500000000000000"/>
    <w:charset w:val="86"/>
    <w:family w:val="swiss"/>
    <w:pitch w:val="default"/>
    <w:sig w:usb0="00000000" w:usb1="00000000" w:usb2="00000016" w:usb3="00000000" w:csb0="002E0107" w:csb1="00000000"/>
  </w:font>
  <w:font w:name="楷体_GB2312">
    <w:altName w:val="楷体"/>
    <w:panose1 w:val="00000000000000000000"/>
    <w:charset w:val="86"/>
    <w:family w:val="modern"/>
    <w:pitch w:val="default"/>
    <w:sig w:usb0="00000000" w:usb1="00000000" w:usb2="0000001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rPr>
    </w:pPr>
    <w:r>
      <mc:AlternateContent>
        <mc:Choice Requires="wps">
          <w:drawing>
            <wp:anchor distT="45720" distB="45720" distL="114300" distR="114300" simplePos="0" relativeHeight="251666432" behindDoc="1" locked="0" layoutInCell="1" allowOverlap="1">
              <wp:simplePos x="0" y="0"/>
              <wp:positionH relativeFrom="page">
                <wp:posOffset>226695</wp:posOffset>
              </wp:positionH>
              <wp:positionV relativeFrom="paragraph">
                <wp:posOffset>144145</wp:posOffset>
              </wp:positionV>
              <wp:extent cx="7106285" cy="46990"/>
              <wp:effectExtent l="0" t="0" r="0" b="0"/>
              <wp:wrapNone/>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06400" cy="46800"/>
                      </a:xfrm>
                      <a:prstGeom prst="rect">
                        <a:avLst/>
                      </a:prstGeom>
                      <a:solidFill>
                        <a:srgbClr val="AE0C21"/>
                      </a:solidFill>
                      <a:ln w="9525">
                        <a:noFill/>
                        <a:miter lim="800000"/>
                      </a:ln>
                    </wps:spPr>
                    <wps:txbx>
                      <w:txbxContent>
                        <w:p>
                          <w:pPr>
                            <w:rPr>
                              <w:rFonts w:hint="eastAsia"/>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85pt;margin-top:11.35pt;height:3.7pt;width:559.55pt;mso-position-horizontal-relative:page;z-index:-251650048;mso-width-relative:page;mso-height-relative:page;" fillcolor="#AE0C21" filled="t" stroked="f" coordsize="21600,21600" o:gfxdata="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Eci3XAAAACQEAAA8AAAAAAAAAAQAgAAAAIgAAAGRycy9kb3du&#10;cmV2LnhtbFBLAQIUABQAAAAIAIdO4kDneBX6OQIAAFIEAAAOAAAAAAAAAAEAIAAAACYBAABkcnMv&#10;ZTJvRG9jLnhtbFBLBQYAAAAABgAGAFkBAADRBQAAAAA=&#10;">
              <v:fill on="t" focussize="0,0"/>
              <v:stroke on="f" miterlimit="8" joinstyle="miter"/>
              <v:imagedata o:title=""/>
              <o:lock v:ext="edit" aspectratio="f"/>
              <v:textbox>
                <w:txbxContent>
                  <w:p>
                    <w:pPr>
                      <w:rPr>
                        <w:rFonts w:hint="eastAsia"/>
                      </w:rPr>
                    </w:pPr>
                  </w:p>
                </w:txbxContent>
              </v:textbox>
            </v:shape>
          </w:pict>
        </mc:Fallback>
      </mc:AlternateContent>
    </w:r>
    <w:r>
      <mc:AlternateContent>
        <mc:Choice Requires="wps">
          <w:drawing>
            <wp:anchor distT="45720" distB="45720" distL="114300" distR="114300" simplePos="0" relativeHeight="251663360" behindDoc="1" locked="0" layoutInCell="1" allowOverlap="1">
              <wp:simplePos x="0" y="0"/>
              <wp:positionH relativeFrom="page">
                <wp:posOffset>323850</wp:posOffset>
              </wp:positionH>
              <wp:positionV relativeFrom="paragraph">
                <wp:posOffset>234315</wp:posOffset>
              </wp:positionV>
              <wp:extent cx="6948170" cy="144145"/>
              <wp:effectExtent l="0" t="0" r="5715" b="889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948000" cy="144000"/>
                      </a:xfrm>
                      <a:prstGeom prst="rect">
                        <a:avLst/>
                      </a:prstGeom>
                      <a:noFill/>
                      <a:ln w="9525">
                        <a:noFill/>
                        <a:miter lim="800000"/>
                      </a:ln>
                    </wps:spPr>
                    <wps:txbx>
                      <w:txbxContent>
                        <w:tbl>
                          <w:tblPr>
                            <w:tblStyle w:val="15"/>
                            <w:tblW w:w="1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45"/>
                            <w:gridCol w:w="3119"/>
                            <w:gridCol w:w="2568"/>
                            <w:gridCol w:w="3644"/>
                            <w:gridCol w:w="3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45" w:type="dxa"/>
                                <w:vAlign w:val="center"/>
                              </w:tcPr>
                              <w:p>
                                <w:pPr>
                                  <w:pStyle w:val="22"/>
                                  <w:rPr>
                                    <w:rFonts w:ascii="Arial" w:hAnsi="Arial"/>
                                    <w:b/>
                                    <w:sz w:val="16"/>
                                  </w:rPr>
                                </w:pPr>
                                <w:r>
                                  <w:rPr>
                                    <w:rFonts w:ascii="Arial" w:hAnsi="Arial"/>
                                    <w:b/>
                                    <w:sz w:val="16"/>
                                  </w:rPr>
                                  <w:t>HTTP://WWW.QH168.COM.CN</w:t>
                                </w:r>
                              </w:p>
                            </w:tc>
                            <w:tc>
                              <w:tcPr>
                                <w:tcW w:w="3119" w:type="dxa"/>
                                <w:vAlign w:val="center"/>
                              </w:tcPr>
                              <w:p>
                                <w:pPr>
                                  <w:pStyle w:val="22"/>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2</w:t>
                                </w:r>
                                <w:r>
                                  <w:rPr>
                                    <w:rFonts w:ascii="Arial" w:hAnsi="Arial"/>
                                    <w:b/>
                                    <w:bCs/>
                                    <w:sz w:val="16"/>
                                  </w:rPr>
                                  <w:fldChar w:fldCharType="end"/>
                                </w:r>
                              </w:p>
                            </w:tc>
                            <w:tc>
                              <w:tcPr>
                                <w:tcW w:w="2568" w:type="dxa"/>
                                <w:vAlign w:val="center"/>
                              </w:tcPr>
                              <w:p>
                                <w:pPr>
                                  <w:pStyle w:val="22"/>
                                  <w:rPr>
                                    <w:rFonts w:ascii="Arial" w:hAnsi="Arial"/>
                                    <w:b/>
                                    <w:spacing w:val="40"/>
                                    <w:sz w:val="16"/>
                                  </w:rPr>
                                </w:pPr>
                                <w:r>
                                  <w:rPr>
                                    <w:rFonts w:hint="eastAsia" w:ascii="Arial" w:hAnsi="Arial"/>
                                    <w:b/>
                                    <w:sz w:val="16"/>
                                  </w:rPr>
                                  <w:t>请务必仔细阅读正文后免责申明</w:t>
                                </w:r>
                              </w:p>
                            </w:tc>
                            <w:tc>
                              <w:tcPr>
                                <w:tcW w:w="3644" w:type="dxa"/>
                                <w:vAlign w:val="center"/>
                              </w:tcPr>
                              <w:p>
                                <w:pPr>
                                  <w:pStyle w:val="22"/>
                                  <w:rPr>
                                    <w:rFonts w:ascii="Arial" w:hAnsi="Arial"/>
                                    <w:b/>
                                    <w:sz w:val="16"/>
                                  </w:rPr>
                                </w:pPr>
                                <w:r>
                                  <w:rPr>
                                    <w:rFonts w:ascii="Arial" w:hAnsi="Arial"/>
                                    <w:b/>
                                    <w:spacing w:val="40"/>
                                    <w:sz w:val="16"/>
                                  </w:rPr>
                                  <w:fldChar w:fldCharType="begin"/>
                                </w:r>
                                <w:r>
                                  <w:rPr>
                                    <w:rFonts w:ascii="Arial" w:hAnsi="Arial"/>
                                    <w:b/>
                                    <w:spacing w:val="40"/>
                                    <w:sz w:val="16"/>
                                  </w:rPr>
                                  <w:instrText xml:space="preserve"> PAGE  \* Arabic </w:instrText>
                                </w:r>
                                <w:r>
                                  <w:rPr>
                                    <w:rFonts w:ascii="Arial" w:hAnsi="Arial"/>
                                    <w:b/>
                                    <w:spacing w:val="40"/>
                                    <w:sz w:val="16"/>
                                  </w:rPr>
                                  <w:fldChar w:fldCharType="separate"/>
                                </w:r>
                                <w:r>
                                  <w:rPr>
                                    <w:rFonts w:ascii="Arial" w:hAnsi="Arial"/>
                                    <w:b/>
                                    <w:spacing w:val="40"/>
                                    <w:sz w:val="16"/>
                                  </w:rPr>
                                  <w:t>1</w:t>
                                </w:r>
                                <w:r>
                                  <w:rPr>
                                    <w:rFonts w:ascii="Arial" w:hAnsi="Arial"/>
                                    <w:b/>
                                    <w:spacing w:val="40"/>
                                    <w:sz w:val="16"/>
                                  </w:rPr>
                                  <w:fldChar w:fldCharType="end"/>
                                </w:r>
                                <w:r>
                                  <w:rPr>
                                    <w:rFonts w:ascii="Arial" w:hAnsi="Arial"/>
                                    <w:b/>
                                    <w:spacing w:val="40"/>
                                    <w:sz w:val="16"/>
                                  </w:rPr>
                                  <w:t>/</w:t>
                                </w:r>
                                <w:r>
                                  <w:rPr>
                                    <w:rFonts w:ascii="Arial" w:hAnsi="Arial"/>
                                    <w:b/>
                                    <w:sz w:val="16"/>
                                  </w:rPr>
                                  <w:fldChar w:fldCharType="begin"/>
                                </w:r>
                                <w:r>
                                  <w:rPr>
                                    <w:rFonts w:ascii="Arial" w:hAnsi="Arial"/>
                                    <w:b/>
                                    <w:sz w:val="16"/>
                                  </w:rPr>
                                  <w:instrText xml:space="preserve"> NUMPAGES  \* Arabic </w:instrText>
                                </w:r>
                                <w:r>
                                  <w:rPr>
                                    <w:rFonts w:ascii="Arial" w:hAnsi="Arial"/>
                                    <w:b/>
                                    <w:sz w:val="16"/>
                                  </w:rPr>
                                  <w:fldChar w:fldCharType="separate"/>
                                </w:r>
                                <w:r>
                                  <w:rPr>
                                    <w:rFonts w:ascii="Arial" w:hAnsi="Arial"/>
                                    <w:b/>
                                    <w:sz w:val="16"/>
                                  </w:rPr>
                                  <w:t>1</w:t>
                                </w:r>
                                <w:r>
                                  <w:rPr>
                                    <w:rFonts w:ascii="Arial" w:hAnsi="Arial"/>
                                    <w:b/>
                                    <w:sz w:val="16"/>
                                  </w:rPr>
                                  <w:fldChar w:fldCharType="end"/>
                                </w:r>
                              </w:p>
                            </w:tc>
                            <w:tc>
                              <w:tcPr>
                                <w:tcW w:w="3644" w:type="dxa"/>
                                <w:vAlign w:val="center"/>
                              </w:tcPr>
                              <w:p>
                                <w:pPr>
                                  <w:pStyle w:val="22"/>
                                  <w:jc w:val="right"/>
                                  <w:rPr>
                                    <w:rFonts w:ascii="Arial" w:hAnsi="Arial"/>
                                    <w:b/>
                                    <w:sz w:val="16"/>
                                  </w:rPr>
                                </w:pPr>
                                <w:r>
                                  <w:rPr>
                                    <w:rFonts w:hint="eastAsia" w:ascii="Arial" w:hAnsi="Arial"/>
                                    <w:b/>
                                    <w:sz w:val="16"/>
                                  </w:rPr>
                                  <w:t>请务必仔细阅读正文后免责申明</w:t>
                                </w:r>
                              </w:p>
                            </w:tc>
                          </w:tr>
                        </w:tbl>
                        <w:p>
                          <w:pPr>
                            <w:pStyle w:val="10"/>
                          </w:pPr>
                        </w:p>
                      </w:txbxContent>
                    </wps:txbx>
                    <wps:bodyPr rot="0" vert="horz" wrap="square" lIns="0" tIns="0" rIns="0" bIns="0" anchor="t" anchorCtr="0">
                      <a:noAutofit/>
                    </wps:bodyPr>
                  </wps:wsp>
                </a:graphicData>
              </a:graphic>
            </wp:anchor>
          </w:drawing>
        </mc:Choice>
        <mc:Fallback>
          <w:pict>
            <v:shape id="文本框 2" o:spid="_x0000_s1026" o:spt="202" type="#_x0000_t202" style="position:absolute;left:0pt;margin-left:25.5pt;margin-top:18.45pt;height:11.35pt;width:547.1pt;mso-position-horizontal-relative:page;z-index:-251653120;mso-width-relative:page;mso-height-relative:page;" filled="f" stroked="f" coordsize="21600,21600" o:gfxdata="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J9xR2AAAAAkBAAAPAAAA&#10;AAAAAAEAIAAAACIAAABkcnMvZG93bnJldi54bWxQSwECFAAUAAAACACHTuJAFJ5MohUCAAAaBAAA&#10;DgAAAAAAAAABACAAAAAnAQAAZHJzL2Uyb0RvYy54bWxQSwUGAAAAAAYABgBZAQAArgUAAAAA&#10;">
              <v:fill on="f" focussize="0,0"/>
              <v:stroke on="f" miterlimit="8" joinstyle="miter"/>
              <v:imagedata o:title=""/>
              <o:lock v:ext="edit" aspectratio="f"/>
              <v:textbox inset="0mm,0mm,0mm,0mm">
                <w:txbxContent>
                  <w:tbl>
                    <w:tblPr>
                      <w:tblStyle w:val="15"/>
                      <w:tblW w:w="182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245"/>
                      <w:gridCol w:w="3119"/>
                      <w:gridCol w:w="2568"/>
                      <w:gridCol w:w="3644"/>
                      <w:gridCol w:w="3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245" w:type="dxa"/>
                          <w:vAlign w:val="center"/>
                        </w:tcPr>
                        <w:p>
                          <w:pPr>
                            <w:pStyle w:val="22"/>
                            <w:rPr>
                              <w:rFonts w:ascii="Arial" w:hAnsi="Arial"/>
                              <w:b/>
                              <w:sz w:val="16"/>
                            </w:rPr>
                          </w:pPr>
                          <w:r>
                            <w:rPr>
                              <w:rFonts w:ascii="Arial" w:hAnsi="Arial"/>
                              <w:b/>
                              <w:sz w:val="16"/>
                            </w:rPr>
                            <w:t>HTTP://WWW.QH168.COM.CN</w:t>
                          </w:r>
                        </w:p>
                      </w:tc>
                      <w:tc>
                        <w:tcPr>
                          <w:tcW w:w="3119" w:type="dxa"/>
                          <w:vAlign w:val="center"/>
                        </w:tcPr>
                        <w:p>
                          <w:pPr>
                            <w:pStyle w:val="22"/>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2</w:t>
                          </w:r>
                          <w:r>
                            <w:rPr>
                              <w:rFonts w:ascii="Arial" w:hAnsi="Arial"/>
                              <w:b/>
                              <w:bCs/>
                              <w:sz w:val="16"/>
                            </w:rPr>
                            <w:fldChar w:fldCharType="end"/>
                          </w:r>
                        </w:p>
                      </w:tc>
                      <w:tc>
                        <w:tcPr>
                          <w:tcW w:w="2568" w:type="dxa"/>
                          <w:vAlign w:val="center"/>
                        </w:tcPr>
                        <w:p>
                          <w:pPr>
                            <w:pStyle w:val="22"/>
                            <w:rPr>
                              <w:rFonts w:ascii="Arial" w:hAnsi="Arial"/>
                              <w:b/>
                              <w:spacing w:val="40"/>
                              <w:sz w:val="16"/>
                            </w:rPr>
                          </w:pPr>
                          <w:r>
                            <w:rPr>
                              <w:rFonts w:hint="eastAsia" w:ascii="Arial" w:hAnsi="Arial"/>
                              <w:b/>
                              <w:sz w:val="16"/>
                            </w:rPr>
                            <w:t>请务必仔细阅读正文后免责申明</w:t>
                          </w:r>
                        </w:p>
                      </w:tc>
                      <w:tc>
                        <w:tcPr>
                          <w:tcW w:w="3644" w:type="dxa"/>
                          <w:vAlign w:val="center"/>
                        </w:tcPr>
                        <w:p>
                          <w:pPr>
                            <w:pStyle w:val="22"/>
                            <w:rPr>
                              <w:rFonts w:ascii="Arial" w:hAnsi="Arial"/>
                              <w:b/>
                              <w:sz w:val="16"/>
                            </w:rPr>
                          </w:pPr>
                          <w:r>
                            <w:rPr>
                              <w:rFonts w:ascii="Arial" w:hAnsi="Arial"/>
                              <w:b/>
                              <w:spacing w:val="40"/>
                              <w:sz w:val="16"/>
                            </w:rPr>
                            <w:fldChar w:fldCharType="begin"/>
                          </w:r>
                          <w:r>
                            <w:rPr>
                              <w:rFonts w:ascii="Arial" w:hAnsi="Arial"/>
                              <w:b/>
                              <w:spacing w:val="40"/>
                              <w:sz w:val="16"/>
                            </w:rPr>
                            <w:instrText xml:space="preserve"> PAGE  \* Arabic </w:instrText>
                          </w:r>
                          <w:r>
                            <w:rPr>
                              <w:rFonts w:ascii="Arial" w:hAnsi="Arial"/>
                              <w:b/>
                              <w:spacing w:val="40"/>
                              <w:sz w:val="16"/>
                            </w:rPr>
                            <w:fldChar w:fldCharType="separate"/>
                          </w:r>
                          <w:r>
                            <w:rPr>
                              <w:rFonts w:ascii="Arial" w:hAnsi="Arial"/>
                              <w:b/>
                              <w:spacing w:val="40"/>
                              <w:sz w:val="16"/>
                            </w:rPr>
                            <w:t>1</w:t>
                          </w:r>
                          <w:r>
                            <w:rPr>
                              <w:rFonts w:ascii="Arial" w:hAnsi="Arial"/>
                              <w:b/>
                              <w:spacing w:val="40"/>
                              <w:sz w:val="16"/>
                            </w:rPr>
                            <w:fldChar w:fldCharType="end"/>
                          </w:r>
                          <w:r>
                            <w:rPr>
                              <w:rFonts w:ascii="Arial" w:hAnsi="Arial"/>
                              <w:b/>
                              <w:spacing w:val="40"/>
                              <w:sz w:val="16"/>
                            </w:rPr>
                            <w:t>/</w:t>
                          </w:r>
                          <w:r>
                            <w:rPr>
                              <w:rFonts w:ascii="Arial" w:hAnsi="Arial"/>
                              <w:b/>
                              <w:sz w:val="16"/>
                            </w:rPr>
                            <w:fldChar w:fldCharType="begin"/>
                          </w:r>
                          <w:r>
                            <w:rPr>
                              <w:rFonts w:ascii="Arial" w:hAnsi="Arial"/>
                              <w:b/>
                              <w:sz w:val="16"/>
                            </w:rPr>
                            <w:instrText xml:space="preserve"> NUMPAGES  \* Arabic </w:instrText>
                          </w:r>
                          <w:r>
                            <w:rPr>
                              <w:rFonts w:ascii="Arial" w:hAnsi="Arial"/>
                              <w:b/>
                              <w:sz w:val="16"/>
                            </w:rPr>
                            <w:fldChar w:fldCharType="separate"/>
                          </w:r>
                          <w:r>
                            <w:rPr>
                              <w:rFonts w:ascii="Arial" w:hAnsi="Arial"/>
                              <w:b/>
                              <w:sz w:val="16"/>
                            </w:rPr>
                            <w:t>1</w:t>
                          </w:r>
                          <w:r>
                            <w:rPr>
                              <w:rFonts w:ascii="Arial" w:hAnsi="Arial"/>
                              <w:b/>
                              <w:sz w:val="16"/>
                            </w:rPr>
                            <w:fldChar w:fldCharType="end"/>
                          </w:r>
                        </w:p>
                      </w:tc>
                      <w:tc>
                        <w:tcPr>
                          <w:tcW w:w="3644" w:type="dxa"/>
                          <w:vAlign w:val="center"/>
                        </w:tcPr>
                        <w:p>
                          <w:pPr>
                            <w:pStyle w:val="22"/>
                            <w:jc w:val="right"/>
                            <w:rPr>
                              <w:rFonts w:ascii="Arial" w:hAnsi="Arial"/>
                              <w:b/>
                              <w:sz w:val="16"/>
                            </w:rPr>
                          </w:pPr>
                          <w:r>
                            <w:rPr>
                              <w:rFonts w:hint="eastAsia" w:ascii="Arial" w:hAnsi="Arial"/>
                              <w:b/>
                              <w:sz w:val="16"/>
                            </w:rPr>
                            <w:t>请务必仔细阅读正文后免责申明</w:t>
                          </w:r>
                        </w:p>
                      </w:tc>
                    </w:tr>
                  </w:tbl>
                  <w:p>
                    <w:pPr>
                      <w:pStyle w:val="1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rPr>
    </w:pPr>
    <w:r>
      <mc:AlternateContent>
        <mc:Choice Requires="wps">
          <w:drawing>
            <wp:anchor distT="45720" distB="45720" distL="114300" distR="114300" simplePos="0" relativeHeight="251665408" behindDoc="1" locked="0" layoutInCell="1" allowOverlap="1">
              <wp:simplePos x="0" y="0"/>
              <wp:positionH relativeFrom="page">
                <wp:posOffset>226695</wp:posOffset>
              </wp:positionH>
              <wp:positionV relativeFrom="paragraph">
                <wp:posOffset>144145</wp:posOffset>
              </wp:positionV>
              <wp:extent cx="7106285" cy="46990"/>
              <wp:effectExtent l="0" t="0" r="0" b="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06400" cy="46800"/>
                      </a:xfrm>
                      <a:prstGeom prst="rect">
                        <a:avLst/>
                      </a:prstGeom>
                      <a:solidFill>
                        <a:srgbClr val="AE0C21"/>
                      </a:solidFill>
                      <a:ln w="9525">
                        <a:noFill/>
                        <a:miter lim="800000"/>
                      </a:ln>
                    </wps:spPr>
                    <wps:txbx>
                      <w:txbxContent>
                        <w:p>
                          <w:pPr>
                            <w:rPr>
                              <w:rFonts w:hint="eastAsia"/>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85pt;margin-top:11.35pt;height:3.7pt;width:559.55pt;mso-position-horizontal-relative:page;z-index:-251651072;mso-width-relative:page;mso-height-relative:page;" fillcolor="#AE0C21" filled="t" stroked="f" coordsize="21600,21600" o:gfxdata="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MEci3XAAAACQEAAA8AAAAAAAAAAQAgAAAAIgAAAGRycy9kb3du&#10;cmV2LnhtbFBLAQIUABQAAAAIAIdO4kBCB00JOQIAAFEEAAAOAAAAAAAAAAEAIAAAACYBAABkcnMv&#10;ZTJvRG9jLnhtbFBLBQYAAAAABgAGAFkBAADRBQAAAAA=&#10;">
              <v:fill on="t" focussize="0,0"/>
              <v:stroke on="f" miterlimit="8" joinstyle="miter"/>
              <v:imagedata o:title=""/>
              <o:lock v:ext="edit" aspectratio="f"/>
              <v:textbox>
                <w:txbxContent>
                  <w:p>
                    <w:pPr>
                      <w:rPr>
                        <w:rFonts w:hint="eastAsia"/>
                      </w:rPr>
                    </w:pPr>
                  </w:p>
                </w:txbxContent>
              </v:textbox>
            </v:shape>
          </w:pict>
        </mc:Fallback>
      </mc:AlternateContent>
    </w:r>
    <w:r>
      <mc:AlternateContent>
        <mc:Choice Requires="wps">
          <w:drawing>
            <wp:anchor distT="45720" distB="45720" distL="114300" distR="114300" simplePos="0" relativeHeight="251664384" behindDoc="1" locked="0" layoutInCell="1" allowOverlap="1">
              <wp:simplePos x="0" y="0"/>
              <wp:positionH relativeFrom="page">
                <wp:posOffset>323850</wp:posOffset>
              </wp:positionH>
              <wp:positionV relativeFrom="paragraph">
                <wp:posOffset>234315</wp:posOffset>
              </wp:positionV>
              <wp:extent cx="6948170" cy="215900"/>
              <wp:effectExtent l="0" t="0" r="5715" b="1270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948000" cy="216000"/>
                      </a:xfrm>
                      <a:prstGeom prst="rect">
                        <a:avLst/>
                      </a:prstGeom>
                      <a:noFill/>
                      <a:ln w="9525">
                        <a:noFill/>
                        <a:miter lim="800000"/>
                      </a:ln>
                    </wps:spPr>
                    <wps:txbx>
                      <w:txbxContent>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gridCol w:w="5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466" w:type="dxa"/>
                                <w:vAlign w:val="center"/>
                              </w:tcPr>
                              <w:p>
                                <w:pPr>
                                  <w:pStyle w:val="22"/>
                                  <w:rPr>
                                    <w:rFonts w:ascii="Arial" w:hAnsi="Arial"/>
                                    <w:b/>
                                    <w:sz w:val="16"/>
                                  </w:rPr>
                                </w:pPr>
                                <w:r>
                                  <w:rPr>
                                    <w:rFonts w:ascii="Arial" w:hAnsi="Arial"/>
                                    <w:b/>
                                    <w:sz w:val="16"/>
                                  </w:rPr>
                                  <w:t>HTTP://WWW.QH168.COM.CN</w:t>
                                </w:r>
                              </w:p>
                            </w:tc>
                            <w:tc>
                              <w:tcPr>
                                <w:tcW w:w="5466" w:type="dxa"/>
                                <w:vAlign w:val="center"/>
                              </w:tcPr>
                              <w:p>
                                <w:pPr>
                                  <w:pStyle w:val="22"/>
                                  <w:ind w:right="160"/>
                                  <w:jc w:val="right"/>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2</w:t>
                                </w:r>
                                <w:r>
                                  <w:rPr>
                                    <w:rFonts w:ascii="Arial" w:hAnsi="Arial"/>
                                    <w:b/>
                                    <w:bCs/>
                                    <w:sz w:val="16"/>
                                  </w:rPr>
                                  <w:fldChar w:fldCharType="end"/>
                                </w:r>
                                <w:r>
                                  <w:rPr>
                                    <w:rFonts w:ascii="Arial" w:hAnsi="Arial"/>
                                    <w:b/>
                                    <w:bCs/>
                                    <w:sz w:val="16"/>
                                  </w:rPr>
                                  <w:t xml:space="preserve">                                </w:t>
                                </w:r>
                                <w:r>
                                  <w:rPr>
                                    <w:rFonts w:hint="eastAsia" w:ascii="Arial" w:hAnsi="Arial"/>
                                    <w:b/>
                                    <w:sz w:val="16"/>
                                  </w:rPr>
                                  <w:t>请务必仔细阅读正文后免责申明</w:t>
                                </w:r>
                              </w:p>
                            </w:tc>
                          </w:tr>
                        </w:tbl>
                        <w:p>
                          <w:pPr>
                            <w:pStyle w:val="10"/>
                            <w:jc w:val="right"/>
                          </w:pPr>
                        </w:p>
                      </w:txbxContent>
                    </wps:txbx>
                    <wps:bodyPr rot="0" vert="horz" wrap="square" lIns="0" tIns="0" rIns="0" bIns="0" anchor="t" anchorCtr="0">
                      <a:noAutofit/>
                    </wps:bodyPr>
                  </wps:wsp>
                </a:graphicData>
              </a:graphic>
            </wp:anchor>
          </w:drawing>
        </mc:Choice>
        <mc:Fallback>
          <w:pict>
            <v:shape id="_x0000_s1026" o:spid="_x0000_s1026" o:spt="202" type="#_x0000_t202" style="position:absolute;left:0pt;margin-left:25.5pt;margin-top:18.45pt;height:17pt;width:547.1pt;mso-position-horizontal-relative:page;z-index:-251652096;mso-width-relative:page;mso-height-relative:page;" filled="f" stroked="f" coordsize="21600,21600" o:gfxdata="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XTsO2AAAAAkBAAAPAAAA&#10;AAAAAAEAIAAAACIAAABkcnMvZG93bnJldi54bWxQSwECFAAUAAAACACHTuJAvT4s9xUCAAAZBAAA&#10;DgAAAAAAAAABACAAAAAnAQAAZHJzL2Uyb0RvYy54bWxQSwUGAAAAAAYABgBZAQAArgUAAAAA&#10;">
              <v:fill on="f" focussize="0,0"/>
              <v:stroke on="f" miterlimit="8" joinstyle="miter"/>
              <v:imagedata o:title=""/>
              <o:lock v:ext="edit" aspectratio="f"/>
              <v:textbox inset="0mm,0mm,0mm,0mm">
                <w:txbxContent>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466"/>
                      <w:gridCol w:w="54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466" w:type="dxa"/>
                          <w:vAlign w:val="center"/>
                        </w:tcPr>
                        <w:p>
                          <w:pPr>
                            <w:pStyle w:val="22"/>
                            <w:rPr>
                              <w:rFonts w:ascii="Arial" w:hAnsi="Arial"/>
                              <w:b/>
                              <w:sz w:val="16"/>
                            </w:rPr>
                          </w:pPr>
                          <w:r>
                            <w:rPr>
                              <w:rFonts w:ascii="Arial" w:hAnsi="Arial"/>
                              <w:b/>
                              <w:sz w:val="16"/>
                            </w:rPr>
                            <w:t>HTTP://WWW.QH168.COM.CN</w:t>
                          </w:r>
                        </w:p>
                      </w:tc>
                      <w:tc>
                        <w:tcPr>
                          <w:tcW w:w="5466" w:type="dxa"/>
                          <w:vAlign w:val="center"/>
                        </w:tcPr>
                        <w:p>
                          <w:pPr>
                            <w:pStyle w:val="22"/>
                            <w:ind w:right="160"/>
                            <w:jc w:val="right"/>
                            <w:rPr>
                              <w:rFonts w:ascii="Arial" w:hAnsi="Arial"/>
                              <w:b/>
                              <w:sz w:val="16"/>
                            </w:rPr>
                          </w:pPr>
                          <w:r>
                            <w:rPr>
                              <w:rFonts w:ascii="Arial" w:hAnsi="Arial"/>
                              <w:b/>
                              <w:sz w:val="16"/>
                            </w:rPr>
                            <w:t xml:space="preserve"> </w:t>
                          </w:r>
                          <w:r>
                            <w:rPr>
                              <w:rFonts w:ascii="Arial" w:hAnsi="Arial"/>
                              <w:b/>
                              <w:bCs/>
                              <w:sz w:val="16"/>
                            </w:rPr>
                            <w:fldChar w:fldCharType="begin"/>
                          </w:r>
                          <w:r>
                            <w:rPr>
                              <w:rFonts w:ascii="Arial" w:hAnsi="Arial"/>
                              <w:b/>
                              <w:bCs/>
                              <w:sz w:val="16"/>
                            </w:rPr>
                            <w:instrText xml:space="preserve">PAGE  \* Arabic  \* MERGEFORMAT</w:instrText>
                          </w:r>
                          <w:r>
                            <w:rPr>
                              <w:rFonts w:ascii="Arial" w:hAnsi="Arial"/>
                              <w:b/>
                              <w:bCs/>
                              <w:sz w:val="16"/>
                            </w:rPr>
                            <w:fldChar w:fldCharType="separate"/>
                          </w:r>
                          <w:r>
                            <w:rPr>
                              <w:rFonts w:ascii="Arial" w:hAnsi="Arial"/>
                              <w:b/>
                              <w:bCs/>
                              <w:sz w:val="16"/>
                              <w:lang w:val="zh-CN"/>
                            </w:rPr>
                            <w:t>1</w:t>
                          </w:r>
                          <w:r>
                            <w:rPr>
                              <w:rFonts w:ascii="Arial" w:hAnsi="Arial"/>
                              <w:b/>
                              <w:bCs/>
                              <w:sz w:val="16"/>
                            </w:rPr>
                            <w:fldChar w:fldCharType="end"/>
                          </w:r>
                          <w:r>
                            <w:rPr>
                              <w:rFonts w:ascii="Arial" w:hAnsi="Arial"/>
                              <w:b/>
                              <w:sz w:val="16"/>
                              <w:lang w:val="zh-CN"/>
                            </w:rPr>
                            <w:t xml:space="preserve"> / </w:t>
                          </w:r>
                          <w:r>
                            <w:rPr>
                              <w:rFonts w:ascii="Arial" w:hAnsi="Arial"/>
                              <w:b/>
                              <w:bCs/>
                              <w:sz w:val="16"/>
                            </w:rPr>
                            <w:fldChar w:fldCharType="begin"/>
                          </w:r>
                          <w:r>
                            <w:rPr>
                              <w:rFonts w:ascii="Arial" w:hAnsi="Arial"/>
                              <w:b/>
                              <w:bCs/>
                              <w:sz w:val="16"/>
                            </w:rPr>
                            <w:instrText xml:space="preserve">NUMPAGES  \* Arabic  \* MERGEFORMAT</w:instrText>
                          </w:r>
                          <w:r>
                            <w:rPr>
                              <w:rFonts w:ascii="Arial" w:hAnsi="Arial"/>
                              <w:b/>
                              <w:bCs/>
                              <w:sz w:val="16"/>
                            </w:rPr>
                            <w:fldChar w:fldCharType="separate"/>
                          </w:r>
                          <w:r>
                            <w:rPr>
                              <w:rFonts w:ascii="Arial" w:hAnsi="Arial"/>
                              <w:b/>
                              <w:bCs/>
                              <w:sz w:val="16"/>
                              <w:lang w:val="zh-CN"/>
                            </w:rPr>
                            <w:t>2</w:t>
                          </w:r>
                          <w:r>
                            <w:rPr>
                              <w:rFonts w:ascii="Arial" w:hAnsi="Arial"/>
                              <w:b/>
                              <w:bCs/>
                              <w:sz w:val="16"/>
                            </w:rPr>
                            <w:fldChar w:fldCharType="end"/>
                          </w:r>
                          <w:r>
                            <w:rPr>
                              <w:rFonts w:ascii="Arial" w:hAnsi="Arial"/>
                              <w:b/>
                              <w:bCs/>
                              <w:sz w:val="16"/>
                            </w:rPr>
                            <w:t xml:space="preserve">                                </w:t>
                          </w:r>
                          <w:r>
                            <w:rPr>
                              <w:rFonts w:hint="eastAsia" w:ascii="Arial" w:hAnsi="Arial"/>
                              <w:b/>
                              <w:sz w:val="16"/>
                            </w:rPr>
                            <w:t>请务必仔细阅读正文后免责申明</w:t>
                          </w:r>
                        </w:p>
                      </w:tc>
                    </w:tr>
                  </w:tbl>
                  <w:p>
                    <w:pPr>
                      <w:pStyle w:val="10"/>
                      <w:jc w:val="right"/>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right"/>
      <w:rPr>
        <w:rFonts w:hint="eastAsia"/>
      </w:rPr>
    </w:pPr>
    <w:r>
      <w:rPr>
        <w:sz w:val="20"/>
        <w:szCs w:val="20"/>
      </w:rPr>
      <w:drawing>
        <wp:anchor distT="0" distB="0" distL="114300" distR="114300" simplePos="0" relativeHeight="251670528" behindDoc="0" locked="0" layoutInCell="1" allowOverlap="1">
          <wp:simplePos x="0" y="0"/>
          <wp:positionH relativeFrom="margin">
            <wp:align>right</wp:align>
          </wp:positionH>
          <wp:positionV relativeFrom="paragraph">
            <wp:posOffset>-325120</wp:posOffset>
          </wp:positionV>
          <wp:extent cx="1219200" cy="342900"/>
          <wp:effectExtent l="0" t="0" r="0" b="0"/>
          <wp:wrapNone/>
          <wp:docPr id="15" name="图片 2" descr="小龙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小龙彩"/>
                  <pic:cNvPicPr>
                    <a:picLocks noChangeAspect="1" noChangeArrowheads="1"/>
                  </pic:cNvPicPr>
                </pic:nvPicPr>
                <pic:blipFill>
                  <a:blip r:embed="rId1"/>
                  <a:srcRect/>
                  <a:stretch>
                    <a:fillRect/>
                  </a:stretch>
                </pic:blipFill>
                <pic:spPr>
                  <a:xfrm>
                    <a:off x="0" y="0"/>
                    <a:ext cx="1219200" cy="342900"/>
                  </a:xfrm>
                  <a:prstGeom prst="rect">
                    <a:avLst/>
                  </a:prstGeom>
                  <a:noFill/>
                  <a:ln w="9525">
                    <a:noFill/>
                    <a:miter lim="800000"/>
                    <a:headEnd/>
                    <a:tailEnd/>
                  </a:ln>
                </pic:spPr>
              </pic:pic>
            </a:graphicData>
          </a:graphic>
        </wp:anchor>
      </w:drawing>
    </w:r>
    <w:r>
      <mc:AlternateContent>
        <mc:Choice Requires="wpg">
          <w:drawing>
            <wp:anchor distT="0" distB="0" distL="114300" distR="114300" simplePos="0" relativeHeight="251668480" behindDoc="0" locked="0" layoutInCell="1" allowOverlap="1">
              <wp:simplePos x="0" y="0"/>
              <wp:positionH relativeFrom="page">
                <wp:posOffset>226695</wp:posOffset>
              </wp:positionH>
              <wp:positionV relativeFrom="page">
                <wp:posOffset>396240</wp:posOffset>
              </wp:positionV>
              <wp:extent cx="7106285" cy="107950"/>
              <wp:effectExtent l="0" t="0" r="0" b="6350"/>
              <wp:wrapNone/>
              <wp:docPr id="12" name="组合 12"/>
              <wp:cNvGraphicFramePr/>
              <a:graphic xmlns:a="http://schemas.openxmlformats.org/drawingml/2006/main">
                <a:graphicData uri="http://schemas.microsoft.com/office/word/2010/wordprocessingGroup">
                  <wpg:wgp>
                    <wpg:cNvGrpSpPr/>
                    <wpg:grpSpPr>
                      <a:xfrm>
                        <a:off x="0" y="0"/>
                        <a:ext cx="7106400" cy="108000"/>
                        <a:chOff x="0" y="0"/>
                        <a:chExt cx="7167403" cy="87630"/>
                      </a:xfrm>
                    </wpg:grpSpPr>
                    <wps:wsp>
                      <wps:cNvPr id="21" name="矩形 21"/>
                      <wps:cNvSpPr/>
                      <wps:spPr>
                        <a:xfrm>
                          <a:off x="0" y="25876"/>
                          <a:ext cx="3590925" cy="59690"/>
                        </a:xfrm>
                        <a:prstGeom prst="rect">
                          <a:avLst/>
                        </a:prstGeom>
                        <a:solidFill>
                          <a:srgbClr val="0D408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流程图: 手动输入 24"/>
                      <wps:cNvSpPr/>
                      <wps:spPr>
                        <a:xfrm rot="16200000">
                          <a:off x="5263832" y="-1815941"/>
                          <a:ext cx="87630" cy="3719512"/>
                        </a:xfrm>
                        <a:custGeom>
                          <a:avLst/>
                          <a:gdLst>
                            <a:gd name="connsiteX0" fmla="*/ 0 w 10000"/>
                            <a:gd name="connsiteY0" fmla="*/ 0 h 10000"/>
                            <a:gd name="connsiteX1" fmla="*/ 10000 w 10000"/>
                            <a:gd name="connsiteY1" fmla="*/ 366 h 10000"/>
                            <a:gd name="connsiteX2" fmla="*/ 10000 w 10000"/>
                            <a:gd name="connsiteY2" fmla="*/ 10000 h 10000"/>
                            <a:gd name="connsiteX3" fmla="*/ 0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85pt;margin-top:31.2pt;height:8.5pt;width:559.55pt;mso-position-horizontal-relative:page;mso-position-vertical-relative:page;z-index:251668480;mso-width-relative:page;mso-height-relative:page;" coordsize="7167403,87630" o:gfxdata="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">
              <o:lock v:ext="edit" aspectratio="f"/>
              <v:rect id="_x0000_s1026" o:spid="_x0000_s1026" o:spt="1" style="position:absolute;left:0;top:25876;height:59690;width:3590925;v-text-anchor:middle;" fillcolor="#0D4081" filled="t" stroked="f" coordsize="21600,21600" o:gfxdata="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QQ7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流程图: 手动输入 24" o:spid="_x0000_s1026" o:spt="100" style="position:absolute;left:5263832;top:-1815941;height:3719512;width:87630;rotation:-5898240f;v-text-anchor:middle;" fillcolor="#AE0C21" filled="t" stroked="f" coordsize="10000,10000" o:gfxdata="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Ny4rsAAADb&#10;AAAADwAAAAAAAAABACAAAAAiAAAAZHJzL2Rvd25yZXYueG1sUEsBAhQAFAAAAAgAh07iQDMvBZ47&#10;AAAAOQAAABAAAAAAAAAAAQAgAAAACgEAAGRycy9zaGFwZXhtbC54bWxQSwUGAAAAAAYABgBbAQAA&#10;tAMAAAAA&#10;" path="m0,0l10000,366,10000,10000,0,10000,0,0xe">
                <v:path o:connectlocs="0,0;87630,136134;87630,3719512;0,3719512;0,0" o:connectangles="0,0,0,0,0"/>
                <v:fill on="t" focussize="0,0"/>
                <v:stroke on="f" weight="1pt" miterlimit="8" joinstyle="miter"/>
                <v:imagedata o:title=""/>
                <o:lock v:ext="edit" aspectratio="f"/>
              </v:shape>
            </v:group>
          </w:pict>
        </mc:Fallback>
      </mc:AlternateContent>
    </w:r>
    <w:r>
      <mc:AlternateContent>
        <mc:Choice Requires="wps">
          <w:drawing>
            <wp:anchor distT="45720" distB="45720" distL="114300" distR="114300" simplePos="0" relativeHeight="251662336" behindDoc="0" locked="0" layoutInCell="1" allowOverlap="1">
              <wp:simplePos x="0" y="0"/>
              <wp:positionH relativeFrom="page">
                <wp:posOffset>431800</wp:posOffset>
              </wp:positionH>
              <wp:positionV relativeFrom="page">
                <wp:posOffset>144145</wp:posOffset>
              </wp:positionV>
              <wp:extent cx="2360930" cy="323850"/>
              <wp:effectExtent l="0" t="0" r="0" b="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324000"/>
                      </a:xfrm>
                      <a:prstGeom prst="rect">
                        <a:avLst/>
                      </a:prstGeom>
                      <a:noFill/>
                      <a:ln w="9525">
                        <a:noFill/>
                        <a:miter lim="800000"/>
                      </a:ln>
                    </wps:spPr>
                    <wps:txbx>
                      <w:txbxContent>
                        <w:p>
                          <w:pPr>
                            <w:pStyle w:val="22"/>
                            <w:rPr>
                              <w:rFonts w:ascii="思源黑体" w:hAnsi="Arial" w:eastAsia="思源黑体"/>
                              <w:b/>
                              <w:color w:val="D70C25"/>
                              <w:sz w:val="22"/>
                            </w:rPr>
                          </w:pPr>
                          <w:r>
                            <w:rPr>
                              <w:rFonts w:hint="eastAsia" w:ascii="思源黑体" w:hAnsi="Arial" w:eastAsia="思源黑体"/>
                              <w:b/>
                              <w:color w:val="D70C25"/>
                              <w:sz w:val="22"/>
                            </w:rPr>
                            <w:t>东海策略</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34pt;margin-top:11.35pt;height:25.5pt;width:185.9pt;mso-position-horizontal-relative:page;mso-position-vertical-relative:page;mso-wrap-distance-bottom:3.6pt;mso-wrap-distance-left:9pt;mso-wrap-distance-right:9pt;mso-wrap-distance-top:3.6pt;z-index:251662336;mso-width-relative:margin;mso-height-relative:page;mso-width-percent:400;" filled="f" stroked="f" coordsize="21600,21600" o:gfxdata="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jTH&#10;W9kAAAAIAQAADwAAAAAAAAABACAAAAAiAAAAZHJzL2Rvd25yZXYueG1sUEsBAhQAFAAAAAgAh07i&#10;QFKrxeYhAgAAKgQAAA4AAAAAAAAAAQAgAAAAKAEAAGRycy9lMm9Eb2MueG1sUEsFBgAAAAAGAAYA&#10;WQEAALsFAAAAAA==&#10;">
              <v:fill on="f" focussize="0,0"/>
              <v:stroke on="f" miterlimit="8" joinstyle="miter"/>
              <v:imagedata o:title=""/>
              <o:lock v:ext="edit" aspectratio="f"/>
              <v:textbox>
                <w:txbxContent>
                  <w:p>
                    <w:pPr>
                      <w:pStyle w:val="22"/>
                      <w:rPr>
                        <w:rFonts w:ascii="思源黑体" w:hAnsi="Arial" w:eastAsia="思源黑体"/>
                        <w:b/>
                        <w:color w:val="D70C25"/>
                        <w:sz w:val="22"/>
                      </w:rPr>
                    </w:pPr>
                    <w:r>
                      <w:rPr>
                        <w:rFonts w:hint="eastAsia" w:ascii="思源黑体" w:hAnsi="Arial" w:eastAsia="思源黑体"/>
                        <w:b/>
                        <w:color w:val="D70C25"/>
                        <w:sz w:val="22"/>
                      </w:rPr>
                      <w:t>东海策略</w:t>
                    </w: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right"/>
      <w:rPr>
        <w:rFonts w:hint="eastAsia"/>
      </w:rPr>
    </w:pPr>
    <w:r>
      <w:rPr>
        <w:sz w:val="20"/>
        <w:szCs w:val="20"/>
      </w:rPr>
      <w:drawing>
        <wp:anchor distT="0" distB="0" distL="114300" distR="114300" simplePos="0" relativeHeight="251669504" behindDoc="0" locked="0" layoutInCell="1" allowOverlap="1">
          <wp:simplePos x="0" y="0"/>
          <wp:positionH relativeFrom="margin">
            <wp:align>right</wp:align>
          </wp:positionH>
          <wp:positionV relativeFrom="paragraph">
            <wp:posOffset>-235585</wp:posOffset>
          </wp:positionV>
          <wp:extent cx="2057400" cy="578485"/>
          <wp:effectExtent l="0" t="0" r="0" b="0"/>
          <wp:wrapNone/>
          <wp:docPr id="16" name="图片 2" descr="小龙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小龙彩"/>
                  <pic:cNvPicPr>
                    <a:picLocks noChangeAspect="1" noChangeArrowheads="1"/>
                  </pic:cNvPicPr>
                </pic:nvPicPr>
                <pic:blipFill>
                  <a:blip r:embed="rId1"/>
                  <a:srcRect/>
                  <a:stretch>
                    <a:fillRect/>
                  </a:stretch>
                </pic:blipFill>
                <pic:spPr>
                  <a:xfrm>
                    <a:off x="0" y="0"/>
                    <a:ext cx="2057400" cy="578644"/>
                  </a:xfrm>
                  <a:prstGeom prst="rect">
                    <a:avLst/>
                  </a:prstGeom>
                  <a:noFill/>
                  <a:ln w="9525">
                    <a:noFill/>
                    <a:miter lim="800000"/>
                    <a:headEnd/>
                    <a:tailEnd/>
                  </a:ln>
                </pic:spPr>
              </pic:pic>
            </a:graphicData>
          </a:graphic>
        </wp:anchor>
      </w:drawing>
    </w:r>
    <w:r>
      <mc:AlternateContent>
        <mc:Choice Requires="wpg">
          <w:drawing>
            <wp:anchor distT="0" distB="0" distL="114300" distR="114300" simplePos="0" relativeHeight="251667456" behindDoc="0" locked="0" layoutInCell="1" allowOverlap="1">
              <wp:simplePos x="0" y="0"/>
              <wp:positionH relativeFrom="margin">
                <wp:posOffset>-608330</wp:posOffset>
              </wp:positionH>
              <wp:positionV relativeFrom="paragraph">
                <wp:posOffset>493395</wp:posOffset>
              </wp:positionV>
              <wp:extent cx="7106285" cy="107950"/>
              <wp:effectExtent l="0" t="0" r="0" b="6350"/>
              <wp:wrapNone/>
              <wp:docPr id="25" name="组合 25"/>
              <wp:cNvGraphicFramePr/>
              <a:graphic xmlns:a="http://schemas.openxmlformats.org/drawingml/2006/main">
                <a:graphicData uri="http://schemas.microsoft.com/office/word/2010/wordprocessingGroup">
                  <wpg:wgp>
                    <wpg:cNvGrpSpPr/>
                    <wpg:grpSpPr>
                      <a:xfrm>
                        <a:off x="0" y="0"/>
                        <a:ext cx="7106400" cy="108000"/>
                        <a:chOff x="0" y="0"/>
                        <a:chExt cx="7167403" cy="87630"/>
                      </a:xfrm>
                    </wpg:grpSpPr>
                    <wps:wsp>
                      <wps:cNvPr id="13" name="矩形 13"/>
                      <wps:cNvSpPr/>
                      <wps:spPr>
                        <a:xfrm>
                          <a:off x="0" y="25876"/>
                          <a:ext cx="3590925" cy="59690"/>
                        </a:xfrm>
                        <a:prstGeom prst="rect">
                          <a:avLst/>
                        </a:prstGeom>
                        <a:solidFill>
                          <a:srgbClr val="0D408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流程图: 手动输入 24"/>
                      <wps:cNvSpPr/>
                      <wps:spPr>
                        <a:xfrm rot="16200000">
                          <a:off x="5263832" y="-1815941"/>
                          <a:ext cx="87630" cy="3719512"/>
                        </a:xfrm>
                        <a:custGeom>
                          <a:avLst/>
                          <a:gdLst>
                            <a:gd name="connsiteX0" fmla="*/ 0 w 10000"/>
                            <a:gd name="connsiteY0" fmla="*/ 0 h 10000"/>
                            <a:gd name="connsiteX1" fmla="*/ 10000 w 10000"/>
                            <a:gd name="connsiteY1" fmla="*/ 366 h 10000"/>
                            <a:gd name="connsiteX2" fmla="*/ 10000 w 10000"/>
                            <a:gd name="connsiteY2" fmla="*/ 10000 h 10000"/>
                            <a:gd name="connsiteX3" fmla="*/ 0 w 10000"/>
                            <a:gd name="connsiteY3" fmla="*/ 10000 h 10000"/>
                            <a:gd name="connsiteX4" fmla="*/ 0 w 10000"/>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0" y="0"/>
                              </a:moveTo>
                              <a:lnTo>
                                <a:pt x="10000" y="366"/>
                              </a:lnTo>
                              <a:lnTo>
                                <a:pt x="10000" y="10000"/>
                              </a:lnTo>
                              <a:lnTo>
                                <a:pt x="0" y="10000"/>
                              </a:lnTo>
                              <a:lnTo>
                                <a:pt x="0" y="0"/>
                              </a:lnTo>
                              <a:close/>
                            </a:path>
                          </a:pathLst>
                        </a:custGeom>
                        <a:solidFill>
                          <a:srgbClr val="AE0C21"/>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7.9pt;margin-top:38.85pt;height:8.5pt;width:559.55pt;mso-position-horizontal-relative:margin;z-index:251667456;mso-width-relative:page;mso-height-relative:page;" coordsize="7167403,87630" o:gfxdata="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DM&#10;HMtN2wAAAAoBAAAPAAAAAAAAAAEAIAAAACIAAABkcnMvZG93bnJldi54bWxQSwECFAAUAAAACACH&#10;TuJAdULJR5QEAADfDQAADgAAAAAAAAABACAAAAAqAQAAZHJzL2Uyb0RvYy54bWxQSwUGAAAAAAYA&#10;BgBZAQAAMAgAAAAA&#10;">
              <o:lock v:ext="edit" aspectratio="f"/>
              <v:rect id="_x0000_s1026" o:spid="_x0000_s1026" o:spt="1" style="position:absolute;left:0;top:25876;height:59690;width:3590925;v-text-anchor:middle;" fillcolor="#0D4081" filled="t" stroked="f" coordsize="21600,21600" o:gfxdata="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9W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流程图: 手动输入 24" o:spid="_x0000_s1026" o:spt="100" style="position:absolute;left:5263832;top:-1815941;height:3719512;width:87630;rotation:-5898240f;v-text-anchor:middle;" fillcolor="#AE0C21" filled="t" stroked="f" coordsize="10000,10000" o:gfxdata="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WTw28AAAA&#10;2wAAAA8AAAAAAAAAAQAgAAAAIgAAAGRycy9kb3ducmV2LnhtbFBLAQIUABQAAAAIAIdO4kAzLwWe&#10;OwAAADkAAAAQAAAAAAAAAAEAIAAAAAsBAABkcnMvc2hhcGV4bWwueG1sUEsFBgAAAAAGAAYAWwEA&#10;ALUDAAAAAA==&#10;" path="m0,0l10000,366,10000,10000,0,10000,0,0xe">
                <v:path o:connectlocs="0,0;87630,136134;87630,3719512;0,3719512;0,0" o:connectangles="0,0,0,0,0"/>
                <v:fill on="t" focussize="0,0"/>
                <v:stroke on="f" weight="1pt" miterlimit="8" joinstyle="miter"/>
                <v:imagedata o:title=""/>
                <o:lock v:ext="edit" aspectratio="f"/>
              </v:shape>
            </v:group>
          </w:pict>
        </mc:Fallback>
      </mc:AlternateContent>
    </w:r>
    <w:r>
      <mc:AlternateContent>
        <mc:Choice Requires="wps">
          <w:drawing>
            <wp:anchor distT="45720" distB="45720" distL="114300" distR="114300" simplePos="0" relativeHeight="251661312" behindDoc="1" locked="0" layoutInCell="1" allowOverlap="1">
              <wp:simplePos x="0" y="0"/>
              <wp:positionH relativeFrom="page">
                <wp:posOffset>191135</wp:posOffset>
              </wp:positionH>
              <wp:positionV relativeFrom="page">
                <wp:posOffset>2502535</wp:posOffset>
              </wp:positionV>
              <wp:extent cx="464185" cy="7444740"/>
              <wp:effectExtent l="0" t="0" r="0" b="381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4400" cy="7444800"/>
                      </a:xfrm>
                      <a:prstGeom prst="rect">
                        <a:avLst/>
                      </a:prstGeom>
                      <a:solidFill>
                        <a:srgbClr val="C9C9CA"/>
                      </a:solidFill>
                      <a:ln w="9525">
                        <a:noFill/>
                        <a:miter lim="800000"/>
                      </a:ln>
                    </wps:spPr>
                    <wps:txbx>
                      <w:txbxContent>
                        <w:p>
                          <w:pPr>
                            <w:pStyle w:val="22"/>
                            <w:spacing w:line="400" w:lineRule="exact"/>
                            <w:rPr>
                              <w:rFonts w:ascii="思源黑体" w:hAnsi="Arial" w:eastAsia="思源黑体"/>
                              <w:b/>
                              <w:color w:val="FFFFFF" w:themeColor="background1"/>
                              <w:sz w:val="28"/>
                              <w14:textFill>
                                <w14:solidFill>
                                  <w14:schemeClr w14:val="bg1"/>
                                </w14:solidFill>
                              </w14:textFill>
                            </w:rPr>
                          </w:pPr>
                          <w:r>
                            <w:rPr>
                              <w:rFonts w:hint="eastAsia" w:ascii="思源黑体" w:hAnsi="Arial" w:eastAsia="思源黑体"/>
                              <w:b/>
                              <w:color w:val="FFFFFF" w:themeColor="background1"/>
                              <w:sz w:val="28"/>
                              <w14:textFill>
                                <w14:solidFill>
                                  <w14:schemeClr w14:val="bg1"/>
                                </w14:solidFill>
                              </w14:textFill>
                            </w:rPr>
                            <w:t>能源化工</w:t>
                          </w:r>
                        </w:p>
                      </w:txbxContent>
                    </wps:txbx>
                    <wps:bodyPr rot="0" vert="eaVert" wrap="square" lIns="91440" tIns="45720" rIns="91440" bIns="45720" anchor="t" anchorCtr="0">
                      <a:noAutofit/>
                    </wps:bodyPr>
                  </wps:wsp>
                </a:graphicData>
              </a:graphic>
            </wp:anchor>
          </w:drawing>
        </mc:Choice>
        <mc:Fallback>
          <w:pict>
            <v:shape id="文本框 2" o:spid="_x0000_s1026" o:spt="202" type="#_x0000_t202" style="position:absolute;left:0pt;margin-left:15.05pt;margin-top:197.05pt;height:586.2pt;width:36.55pt;mso-position-horizontal-relative:page;mso-position-vertical-relative:page;z-index:-251655168;mso-width-relative:page;mso-height-relative:page;" fillcolor="#C9C9CA" filled="t" stroked="f" coordsize="21600,21600" o:gfxdata="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ra667aAAAACwEAAA8AAAAAAAAAAQAgAAAAIgAAAGRycy9k&#10;b3ducmV2LnhtbFBLAQIUABQAAAAIAIdO4kCHoqhrOQIAAFQEAAAOAAAAAAAAAAEAIAAAACkBAABk&#10;cnMvZTJvRG9jLnhtbFBLBQYAAAAABgAGAFkBAADUBQAAAAA=&#10;">
              <v:fill on="t" focussize="0,0"/>
              <v:stroke on="f" miterlimit="8" joinstyle="miter"/>
              <v:imagedata o:title=""/>
              <o:lock v:ext="edit" aspectratio="f"/>
              <v:textbox style="layout-flow:vertical-ideographic;">
                <w:txbxContent>
                  <w:p>
                    <w:pPr>
                      <w:pStyle w:val="22"/>
                      <w:spacing w:line="400" w:lineRule="exact"/>
                      <w:rPr>
                        <w:rFonts w:ascii="思源黑体" w:hAnsi="Arial" w:eastAsia="思源黑体"/>
                        <w:b/>
                        <w:color w:val="FFFFFF" w:themeColor="background1"/>
                        <w:sz w:val="28"/>
                        <w14:textFill>
                          <w14:solidFill>
                            <w14:schemeClr w14:val="bg1"/>
                          </w14:solidFill>
                        </w14:textFill>
                      </w:rPr>
                    </w:pPr>
                    <w:r>
                      <w:rPr>
                        <w:rFonts w:hint="eastAsia" w:ascii="思源黑体" w:hAnsi="Arial" w:eastAsia="思源黑体"/>
                        <w:b/>
                        <w:color w:val="FFFFFF" w:themeColor="background1"/>
                        <w:sz w:val="28"/>
                        <w14:textFill>
                          <w14:solidFill>
                            <w14:schemeClr w14:val="bg1"/>
                          </w14:solidFill>
                        </w14:textFill>
                      </w:rPr>
                      <w:t>能源化工</w:t>
                    </w:r>
                  </w:p>
                </w:txbxContent>
              </v:textbox>
            </v:shape>
          </w:pict>
        </mc:Fallback>
      </mc:AlternateContent>
    </w:r>
    <w:r>
      <mc:AlternateContent>
        <mc:Choice Requires="wps">
          <w:drawing>
            <wp:anchor distT="45720" distB="45720" distL="114300" distR="114300" simplePos="0" relativeHeight="251660288" behindDoc="1" locked="0" layoutInCell="1" allowOverlap="1">
              <wp:simplePos x="0" y="0"/>
              <wp:positionH relativeFrom="page">
                <wp:posOffset>191135</wp:posOffset>
              </wp:positionH>
              <wp:positionV relativeFrom="page">
                <wp:posOffset>1231265</wp:posOffset>
              </wp:positionV>
              <wp:extent cx="464185" cy="1173480"/>
              <wp:effectExtent l="0" t="0" r="0" b="762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4400" cy="1173600"/>
                      </a:xfrm>
                      <a:prstGeom prst="rect">
                        <a:avLst/>
                      </a:prstGeom>
                      <a:solidFill>
                        <a:srgbClr val="0D4081"/>
                      </a:solidFill>
                      <a:ln w="9525">
                        <a:noFill/>
                        <a:miter lim="800000"/>
                      </a:ln>
                    </wps:spPr>
                    <wps:txbx>
                      <w:txbxContent>
                        <w:p>
                          <w:pPr>
                            <w:pStyle w:val="22"/>
                            <w:spacing w:line="400" w:lineRule="exact"/>
                            <w:jc w:val="center"/>
                            <w:rPr>
                              <w:rFonts w:hint="eastAsia" w:ascii="思源黑体" w:hAnsi="微软雅黑" w:eastAsia="思源黑体"/>
                              <w:b/>
                              <w:color w:val="FFFFFF" w:themeColor="background1"/>
                              <w:sz w:val="28"/>
                              <w14:textFill>
                                <w14:solidFill>
                                  <w14:schemeClr w14:val="bg1"/>
                                </w14:solidFill>
                              </w14:textFill>
                            </w:rPr>
                          </w:pPr>
                          <w:r>
                            <w:rPr>
                              <w:rFonts w:hint="eastAsia" w:ascii="思源黑体" w:hAnsi="微软雅黑" w:eastAsia="思源黑体"/>
                              <w:b/>
                              <w:color w:val="FFFFFF" w:themeColor="background1"/>
                              <w:sz w:val="28"/>
                              <w14:textFill>
                                <w14:solidFill>
                                  <w14:schemeClr w14:val="bg1"/>
                                </w14:solidFill>
                              </w14:textFill>
                            </w:rPr>
                            <w:t>东海策略</w:t>
                          </w:r>
                        </w:p>
                      </w:txbxContent>
                    </wps:txbx>
                    <wps:bodyPr rot="0" vert="eaVert" wrap="square" lIns="91440" tIns="45720" rIns="91440" bIns="45720" anchor="t" anchorCtr="0">
                      <a:noAutofit/>
                    </wps:bodyPr>
                  </wps:wsp>
                </a:graphicData>
              </a:graphic>
            </wp:anchor>
          </w:drawing>
        </mc:Choice>
        <mc:Fallback>
          <w:pict>
            <v:shape id="文本框 2" o:spid="_x0000_s1026" o:spt="202" type="#_x0000_t202" style="position:absolute;left:0pt;margin-left:15.05pt;margin-top:96.95pt;height:92.4pt;width:36.55pt;mso-position-horizontal-relative:page;mso-position-vertical-relative:page;z-index:-251656192;mso-width-relative:page;mso-height-relative:page;" fillcolor="#0D4081" filled="t" stroked="f" coordsize="21600,21600" o:gfxdata="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jRcfNgAAAAKAQAADwAAAAAAAAABACAAAAAiAAAAZHJzL2Rv&#10;d25yZXYueG1sUEsBAhQAFAAAAAgAh07iQH0Kkqw6AgAAVAQAAA4AAAAAAAAAAQAgAAAAJwEAAGRy&#10;cy9lMm9Eb2MueG1sUEsFBgAAAAAGAAYAWQEAANMFAAAAAA==&#10;">
              <v:fill on="t" focussize="0,0"/>
              <v:stroke on="f" miterlimit="8" joinstyle="miter"/>
              <v:imagedata o:title=""/>
              <o:lock v:ext="edit" aspectratio="f"/>
              <v:textbox style="layout-flow:vertical-ideographic;">
                <w:txbxContent>
                  <w:p>
                    <w:pPr>
                      <w:pStyle w:val="22"/>
                      <w:spacing w:line="400" w:lineRule="exact"/>
                      <w:jc w:val="center"/>
                      <w:rPr>
                        <w:rFonts w:hint="eastAsia" w:ascii="思源黑体" w:hAnsi="微软雅黑" w:eastAsia="思源黑体"/>
                        <w:b/>
                        <w:color w:val="FFFFFF" w:themeColor="background1"/>
                        <w:sz w:val="28"/>
                        <w14:textFill>
                          <w14:solidFill>
                            <w14:schemeClr w14:val="bg1"/>
                          </w14:solidFill>
                        </w14:textFill>
                      </w:rPr>
                    </w:pPr>
                    <w:r>
                      <w:rPr>
                        <w:rFonts w:hint="eastAsia" w:ascii="思源黑体" w:hAnsi="微软雅黑" w:eastAsia="思源黑体"/>
                        <w:b/>
                        <w:color w:val="FFFFFF" w:themeColor="background1"/>
                        <w:sz w:val="28"/>
                        <w14:textFill>
                          <w14:solidFill>
                            <w14:schemeClr w14:val="bg1"/>
                          </w14:solidFill>
                        </w14:textFill>
                      </w:rPr>
                      <w:t>东海策略</w:t>
                    </w:r>
                  </w:p>
                </w:txbxContent>
              </v:textbox>
            </v:shape>
          </w:pict>
        </mc:Fallback>
      </mc:AlternateContent>
    </w:r>
    <w:r>
      <mc:AlternateContent>
        <mc:Choice Requires="wps">
          <w:drawing>
            <wp:anchor distT="45720" distB="45720" distL="114300" distR="114300" simplePos="0" relativeHeight="251659264" behindDoc="1" locked="0" layoutInCell="1" allowOverlap="1">
              <wp:simplePos x="0" y="0"/>
              <wp:positionH relativeFrom="page">
                <wp:posOffset>191135</wp:posOffset>
              </wp:positionH>
              <wp:positionV relativeFrom="page">
                <wp:posOffset>17780</wp:posOffset>
              </wp:positionV>
              <wp:extent cx="464185" cy="993775"/>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4400" cy="993600"/>
                      </a:xfrm>
                      <a:prstGeom prst="rect">
                        <a:avLst/>
                      </a:prstGeom>
                      <a:solidFill>
                        <a:srgbClr val="AE0C21"/>
                      </a:solidFill>
                      <a:ln w="9525">
                        <a:noFill/>
                        <a:miter lim="800000"/>
                      </a:ln>
                    </wps:spPr>
                    <wps:txbx>
                      <w:txbxContent>
                        <w:p>
                          <w:pPr>
                            <w:pStyle w:val="22"/>
                            <w:spacing w:line="400" w:lineRule="exact"/>
                            <w:jc w:val="center"/>
                            <w:rPr>
                              <w:rFonts w:hint="eastAsia" w:ascii="思源黑体" w:hAnsi="微软雅黑" w:eastAsia="思源黑体"/>
                              <w:b/>
                              <w:color w:val="FFFFFF" w:themeColor="background1"/>
                              <w:sz w:val="28"/>
                              <w14:textFill>
                                <w14:solidFill>
                                  <w14:schemeClr w14:val="bg1"/>
                                </w14:solidFill>
                              </w14:textFill>
                            </w:rPr>
                          </w:pPr>
                          <w:r>
                            <w:rPr>
                              <w:rFonts w:hint="eastAsia" w:ascii="思源黑体" w:hAnsi="微软雅黑" w:eastAsia="思源黑体"/>
                              <w:b/>
                              <w:color w:val="FFFFFF" w:themeColor="background1"/>
                              <w:sz w:val="28"/>
                              <w14:textFill>
                                <w14:solidFill>
                                  <w14:schemeClr w14:val="bg1"/>
                                </w14:solidFill>
                              </w14:textFill>
                            </w:rPr>
                            <w:fldChar w:fldCharType="begin"/>
                          </w:r>
                          <w:r>
                            <w:rPr>
                              <w:rFonts w:hint="eastAsia" w:ascii="思源黑体" w:hAnsi="微软雅黑" w:eastAsia="思源黑体"/>
                              <w:b/>
                              <w:color w:val="FFFFFF" w:themeColor="background1"/>
                              <w:sz w:val="28"/>
                              <w14:textFill>
                                <w14:solidFill>
                                  <w14:schemeClr w14:val="bg1"/>
                                </w14:solidFill>
                              </w14:textFill>
                            </w:rPr>
                            <w:instrText xml:space="preserve"> DOCPROPERTY  columnname </w:instrText>
                          </w:r>
                          <w:r>
                            <w:rPr>
                              <w:rFonts w:hint="eastAsia" w:ascii="思源黑体" w:hAnsi="微软雅黑" w:eastAsia="思源黑体"/>
                              <w:b/>
                              <w:color w:val="FFFFFF" w:themeColor="background1"/>
                              <w:sz w:val="28"/>
                              <w14:textFill>
                                <w14:solidFill>
                                  <w14:schemeClr w14:val="bg1"/>
                                </w14:solidFill>
                              </w14:textFill>
                            </w:rPr>
                            <w:fldChar w:fldCharType="separate"/>
                          </w:r>
                          <w:r>
                            <w:rPr>
                              <w:rFonts w:hint="eastAsia" w:ascii="思源黑体" w:hAnsi="微软雅黑" w:eastAsia="思源黑体"/>
                              <w:b/>
                              <w:color w:val="FFFFFF" w:themeColor="background1"/>
                              <w:sz w:val="28"/>
                              <w14:textFill>
                                <w14:solidFill>
                                  <w14:schemeClr w14:val="bg1"/>
                                </w14:solidFill>
                              </w14:textFill>
                            </w:rPr>
                            <w:t>行业研究</w:t>
                          </w:r>
                          <w:r>
                            <w:rPr>
                              <w:rFonts w:hint="eastAsia" w:ascii="思源黑体" w:hAnsi="微软雅黑" w:eastAsia="思源黑体"/>
                              <w:b/>
                              <w:color w:val="FFFFFF" w:themeColor="background1"/>
                              <w:sz w:val="28"/>
                              <w14:textFill>
                                <w14:solidFill>
                                  <w14:schemeClr w14:val="bg1"/>
                                </w14:solidFill>
                              </w14:textFill>
                            </w:rPr>
                            <w:fldChar w:fldCharType="end"/>
                          </w:r>
                        </w:p>
                      </w:txbxContent>
                    </wps:txbx>
                    <wps:bodyPr rot="0" vert="eaVert" wrap="square" lIns="91440" tIns="45720" rIns="91440" bIns="45720" anchor="t" anchorCtr="0">
                      <a:noAutofit/>
                    </wps:bodyPr>
                  </wps:wsp>
                </a:graphicData>
              </a:graphic>
            </wp:anchor>
          </w:drawing>
        </mc:Choice>
        <mc:Fallback>
          <w:pict>
            <v:shape id="文本框 2" o:spid="_x0000_s1026" o:spt="202" type="#_x0000_t202" style="position:absolute;left:0pt;margin-left:15.05pt;margin-top:1.4pt;height:78.25pt;width:36.55pt;mso-position-horizontal-relative:page;mso-position-vertical-relative:page;z-index:-251657216;mso-width-relative:page;mso-height-relative:page;" fillcolor="#AE0C21" filled="t" stroked="f" coordsize="21600,21600" o:gfxdata="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xiYsc1gAAAAgBAAAPAAAAAAAAAAEAIAAAACIAAABkcnMvZG93&#10;bnJldi54bWxQSwECFAAUAAAACACHTuJARVDxNDsCAABVBAAADgAAAAAAAAABACAAAAAlAQAAZHJz&#10;L2Uyb0RvYy54bWxQSwUGAAAAAAYABgBZAQAA0gUAAAAA&#10;">
              <v:fill on="t" focussize="0,0"/>
              <v:stroke on="f" miterlimit="8" joinstyle="miter"/>
              <v:imagedata o:title=""/>
              <o:lock v:ext="edit" aspectratio="f"/>
              <v:textbox style="layout-flow:vertical-ideographic;">
                <w:txbxContent>
                  <w:p>
                    <w:pPr>
                      <w:pStyle w:val="22"/>
                      <w:spacing w:line="400" w:lineRule="exact"/>
                      <w:jc w:val="center"/>
                      <w:rPr>
                        <w:rFonts w:hint="eastAsia" w:ascii="思源黑体" w:hAnsi="微软雅黑" w:eastAsia="思源黑体"/>
                        <w:b/>
                        <w:color w:val="FFFFFF" w:themeColor="background1"/>
                        <w:sz w:val="28"/>
                        <w14:textFill>
                          <w14:solidFill>
                            <w14:schemeClr w14:val="bg1"/>
                          </w14:solidFill>
                        </w14:textFill>
                      </w:rPr>
                    </w:pPr>
                    <w:r>
                      <w:rPr>
                        <w:rFonts w:hint="eastAsia" w:ascii="思源黑体" w:hAnsi="微软雅黑" w:eastAsia="思源黑体"/>
                        <w:b/>
                        <w:color w:val="FFFFFF" w:themeColor="background1"/>
                        <w:sz w:val="28"/>
                        <w14:textFill>
                          <w14:solidFill>
                            <w14:schemeClr w14:val="bg1"/>
                          </w14:solidFill>
                        </w14:textFill>
                      </w:rPr>
                      <w:fldChar w:fldCharType="begin"/>
                    </w:r>
                    <w:r>
                      <w:rPr>
                        <w:rFonts w:hint="eastAsia" w:ascii="思源黑体" w:hAnsi="微软雅黑" w:eastAsia="思源黑体"/>
                        <w:b/>
                        <w:color w:val="FFFFFF" w:themeColor="background1"/>
                        <w:sz w:val="28"/>
                        <w14:textFill>
                          <w14:solidFill>
                            <w14:schemeClr w14:val="bg1"/>
                          </w14:solidFill>
                        </w14:textFill>
                      </w:rPr>
                      <w:instrText xml:space="preserve"> DOCPROPERTY  columnname </w:instrText>
                    </w:r>
                    <w:r>
                      <w:rPr>
                        <w:rFonts w:hint="eastAsia" w:ascii="思源黑体" w:hAnsi="微软雅黑" w:eastAsia="思源黑体"/>
                        <w:b/>
                        <w:color w:val="FFFFFF" w:themeColor="background1"/>
                        <w:sz w:val="28"/>
                        <w14:textFill>
                          <w14:solidFill>
                            <w14:schemeClr w14:val="bg1"/>
                          </w14:solidFill>
                        </w14:textFill>
                      </w:rPr>
                      <w:fldChar w:fldCharType="separate"/>
                    </w:r>
                    <w:r>
                      <w:rPr>
                        <w:rFonts w:hint="eastAsia" w:ascii="思源黑体" w:hAnsi="微软雅黑" w:eastAsia="思源黑体"/>
                        <w:b/>
                        <w:color w:val="FFFFFF" w:themeColor="background1"/>
                        <w:sz w:val="28"/>
                        <w14:textFill>
                          <w14:solidFill>
                            <w14:schemeClr w14:val="bg1"/>
                          </w14:solidFill>
                        </w14:textFill>
                      </w:rPr>
                      <w:t>行业研究</w:t>
                    </w:r>
                    <w:r>
                      <w:rPr>
                        <w:rFonts w:hint="eastAsia" w:ascii="思源黑体" w:hAnsi="微软雅黑" w:eastAsia="思源黑体"/>
                        <w:b/>
                        <w:color w:val="FFFFFF" w:themeColor="background1"/>
                        <w:sz w:val="28"/>
                        <w14:textFill>
                          <w14:solidFill>
                            <w14:schemeClr w14:val="bg1"/>
                          </w14:solidFill>
                        </w14:textFill>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F6324E2"/>
    <w:multiLevelType w:val="multilevel"/>
    <w:tmpl w:val="2F6324E2"/>
    <w:lvl w:ilvl="0" w:tentative="0">
      <w:start w:val="1"/>
      <w:numFmt w:val="decimal"/>
      <w:pStyle w:val="36"/>
      <w:suff w:val="nothing"/>
      <w:lvlText w:val="%1."/>
      <w:lvlJc w:val="left"/>
      <w:pPr>
        <w:ind w:left="0" w:firstLine="0"/>
      </w:pPr>
      <w:rPr>
        <w:rFonts w:hint="eastAsia"/>
      </w:rPr>
    </w:lvl>
    <w:lvl w:ilvl="1" w:tentative="0">
      <w:start w:val="1"/>
      <w:numFmt w:val="decimal"/>
      <w:pStyle w:val="38"/>
      <w:suff w:val="nothing"/>
      <w:lvlText w:val="%1.%2."/>
      <w:lvlJc w:val="left"/>
      <w:pPr>
        <w:ind w:left="0" w:firstLine="0"/>
      </w:pPr>
      <w:rPr>
        <w:rFonts w:hint="eastAsia"/>
      </w:rPr>
    </w:lvl>
    <w:lvl w:ilvl="2" w:tentative="0">
      <w:start w:val="1"/>
      <w:numFmt w:val="decimal"/>
      <w:pStyle w:val="39"/>
      <w:suff w:val="nothing"/>
      <w:lvlText w:val="%1.%2.%3."/>
      <w:lvlJc w:val="left"/>
      <w:pPr>
        <w:ind w:left="0" w:firstLine="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C0D0A54"/>
    <w:multiLevelType w:val="multilevel"/>
    <w:tmpl w:val="3C0D0A54"/>
    <w:lvl w:ilvl="0" w:tentative="0">
      <w:start w:val="1"/>
      <w:numFmt w:val="decimal"/>
      <w:pStyle w:val="31"/>
      <w:suff w:val="space"/>
      <w:lvlText w:val="图%1 "/>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
    <w:nsid w:val="6619117A"/>
    <w:multiLevelType w:val="multilevel"/>
    <w:tmpl w:val="6619117A"/>
    <w:lvl w:ilvl="0" w:tentative="0">
      <w:start w:val="1"/>
      <w:numFmt w:val="decimal"/>
      <w:pStyle w:val="32"/>
      <w:suff w:val="space"/>
      <w:lvlText w:val="表%1 "/>
      <w:lvlJc w:val="left"/>
      <w:pPr>
        <w:ind w:left="0" w:firstLine="0"/>
      </w:pPr>
      <w:rPr>
        <w:rFonts w:hint="eastAsia"/>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3">
    <w:nsid w:val="694262CC"/>
    <w:multiLevelType w:val="multilevel"/>
    <w:tmpl w:val="694262CC"/>
    <w:lvl w:ilvl="0" w:tentative="0">
      <w:start w:val="1"/>
      <w:numFmt w:val="bullet"/>
      <w:pStyle w:val="41"/>
      <w:suff w:val="nothing"/>
      <w:lvlText w:val=""/>
      <w:lvlJc w:val="left"/>
      <w:pPr>
        <w:ind w:left="227" w:hanging="227"/>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CD61A33"/>
    <w:multiLevelType w:val="multilevel"/>
    <w:tmpl w:val="6CD61A33"/>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
    <w:nsid w:val="72880F8F"/>
    <w:multiLevelType w:val="multilevel"/>
    <w:tmpl w:val="72880F8F"/>
    <w:lvl w:ilvl="0" w:tentative="0">
      <w:start w:val="1"/>
      <w:numFmt w:val="decimal"/>
      <w:pStyle w:val="26"/>
      <w:suff w:val="nothing"/>
      <w:lvlText w:val="%1."/>
      <w:lvlJc w:val="left"/>
      <w:pPr>
        <w:ind w:left="0" w:firstLine="0"/>
      </w:pPr>
      <w:rPr>
        <w:rFonts w:hint="eastAsia"/>
      </w:rPr>
    </w:lvl>
    <w:lvl w:ilvl="1" w:tentative="0">
      <w:start w:val="1"/>
      <w:numFmt w:val="decimal"/>
      <w:pStyle w:val="27"/>
      <w:suff w:val="nothing"/>
      <w:lvlText w:val="%1.%2."/>
      <w:lvlJc w:val="left"/>
      <w:pPr>
        <w:ind w:left="0" w:firstLine="0"/>
      </w:pPr>
      <w:rPr>
        <w:rFonts w:hint="eastAsia"/>
      </w:rPr>
    </w:lvl>
    <w:lvl w:ilvl="2" w:tentative="0">
      <w:start w:val="1"/>
      <w:numFmt w:val="decimal"/>
      <w:pStyle w:val="28"/>
      <w:suff w:val="nothing"/>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zZmQ2MThlNGMwZWNjZWY2M2UzZTUyMTEwM2FjMjQifQ=="/>
  </w:docVars>
  <w:rsids>
    <w:rsidRoot w:val="00172A27"/>
    <w:rsid w:val="0000378D"/>
    <w:rsid w:val="00003B22"/>
    <w:rsid w:val="0000698A"/>
    <w:rsid w:val="0001089B"/>
    <w:rsid w:val="00010910"/>
    <w:rsid w:val="00012DD7"/>
    <w:rsid w:val="00013DAD"/>
    <w:rsid w:val="000145C0"/>
    <w:rsid w:val="00014FC8"/>
    <w:rsid w:val="00017975"/>
    <w:rsid w:val="00020498"/>
    <w:rsid w:val="00020F87"/>
    <w:rsid w:val="00021259"/>
    <w:rsid w:val="000217C9"/>
    <w:rsid w:val="000240A6"/>
    <w:rsid w:val="00026565"/>
    <w:rsid w:val="000316D1"/>
    <w:rsid w:val="00033DC7"/>
    <w:rsid w:val="00034D56"/>
    <w:rsid w:val="000354CA"/>
    <w:rsid w:val="000358D9"/>
    <w:rsid w:val="00035E45"/>
    <w:rsid w:val="0003621A"/>
    <w:rsid w:val="000370AA"/>
    <w:rsid w:val="00040546"/>
    <w:rsid w:val="0004102D"/>
    <w:rsid w:val="00041BC6"/>
    <w:rsid w:val="00042657"/>
    <w:rsid w:val="00043144"/>
    <w:rsid w:val="00044B59"/>
    <w:rsid w:val="00044CBA"/>
    <w:rsid w:val="00044EC1"/>
    <w:rsid w:val="00047BEA"/>
    <w:rsid w:val="00047DAE"/>
    <w:rsid w:val="00050A44"/>
    <w:rsid w:val="0005243E"/>
    <w:rsid w:val="000535FF"/>
    <w:rsid w:val="00055D94"/>
    <w:rsid w:val="00056520"/>
    <w:rsid w:val="00057612"/>
    <w:rsid w:val="000576AC"/>
    <w:rsid w:val="00057789"/>
    <w:rsid w:val="00060920"/>
    <w:rsid w:val="000638CE"/>
    <w:rsid w:val="000645AE"/>
    <w:rsid w:val="000657B2"/>
    <w:rsid w:val="000663FF"/>
    <w:rsid w:val="00067706"/>
    <w:rsid w:val="0006784D"/>
    <w:rsid w:val="00070290"/>
    <w:rsid w:val="00071EEB"/>
    <w:rsid w:val="00073795"/>
    <w:rsid w:val="0007438F"/>
    <w:rsid w:val="000758DF"/>
    <w:rsid w:val="00075FB7"/>
    <w:rsid w:val="000766D5"/>
    <w:rsid w:val="00076939"/>
    <w:rsid w:val="00076C77"/>
    <w:rsid w:val="00077679"/>
    <w:rsid w:val="00081193"/>
    <w:rsid w:val="0008121A"/>
    <w:rsid w:val="00081EAA"/>
    <w:rsid w:val="00084485"/>
    <w:rsid w:val="00084F41"/>
    <w:rsid w:val="00086553"/>
    <w:rsid w:val="0008699B"/>
    <w:rsid w:val="00092149"/>
    <w:rsid w:val="000926CA"/>
    <w:rsid w:val="00092C66"/>
    <w:rsid w:val="00092F11"/>
    <w:rsid w:val="00093E38"/>
    <w:rsid w:val="00094232"/>
    <w:rsid w:val="00094F34"/>
    <w:rsid w:val="00097DFD"/>
    <w:rsid w:val="000A1A9E"/>
    <w:rsid w:val="000A2F25"/>
    <w:rsid w:val="000A4FCB"/>
    <w:rsid w:val="000A7862"/>
    <w:rsid w:val="000B076F"/>
    <w:rsid w:val="000B179F"/>
    <w:rsid w:val="000B353B"/>
    <w:rsid w:val="000B65ED"/>
    <w:rsid w:val="000B6C10"/>
    <w:rsid w:val="000B7CC2"/>
    <w:rsid w:val="000C0799"/>
    <w:rsid w:val="000C1A0C"/>
    <w:rsid w:val="000C1A24"/>
    <w:rsid w:val="000C2F6F"/>
    <w:rsid w:val="000C66BF"/>
    <w:rsid w:val="000C6B88"/>
    <w:rsid w:val="000D15EF"/>
    <w:rsid w:val="000D3738"/>
    <w:rsid w:val="000D4074"/>
    <w:rsid w:val="000D5E11"/>
    <w:rsid w:val="000D5ED1"/>
    <w:rsid w:val="000D62E9"/>
    <w:rsid w:val="000D7D76"/>
    <w:rsid w:val="000E2206"/>
    <w:rsid w:val="000E78B4"/>
    <w:rsid w:val="000F08FE"/>
    <w:rsid w:val="000F21AA"/>
    <w:rsid w:val="000F2FA6"/>
    <w:rsid w:val="000F42C8"/>
    <w:rsid w:val="000F4C5F"/>
    <w:rsid w:val="000F6E6E"/>
    <w:rsid w:val="000F789D"/>
    <w:rsid w:val="000F7C64"/>
    <w:rsid w:val="00100121"/>
    <w:rsid w:val="00101AB8"/>
    <w:rsid w:val="00101D86"/>
    <w:rsid w:val="00101E2B"/>
    <w:rsid w:val="00102DC3"/>
    <w:rsid w:val="00104B40"/>
    <w:rsid w:val="00104F8D"/>
    <w:rsid w:val="001051EB"/>
    <w:rsid w:val="00112384"/>
    <w:rsid w:val="00113EC1"/>
    <w:rsid w:val="0011415B"/>
    <w:rsid w:val="00114242"/>
    <w:rsid w:val="0011460F"/>
    <w:rsid w:val="0011688B"/>
    <w:rsid w:val="00116BC8"/>
    <w:rsid w:val="00117357"/>
    <w:rsid w:val="00117767"/>
    <w:rsid w:val="00120F46"/>
    <w:rsid w:val="00122AEA"/>
    <w:rsid w:val="001233D8"/>
    <w:rsid w:val="00125F16"/>
    <w:rsid w:val="00126985"/>
    <w:rsid w:val="00130335"/>
    <w:rsid w:val="00132208"/>
    <w:rsid w:val="00134EF1"/>
    <w:rsid w:val="00140F19"/>
    <w:rsid w:val="001417EE"/>
    <w:rsid w:val="00142EC8"/>
    <w:rsid w:val="00144AF7"/>
    <w:rsid w:val="00146CCA"/>
    <w:rsid w:val="00150319"/>
    <w:rsid w:val="001512DE"/>
    <w:rsid w:val="00151500"/>
    <w:rsid w:val="0015174B"/>
    <w:rsid w:val="00152A74"/>
    <w:rsid w:val="00153BE3"/>
    <w:rsid w:val="00155DBA"/>
    <w:rsid w:val="001570C1"/>
    <w:rsid w:val="00160535"/>
    <w:rsid w:val="00163D19"/>
    <w:rsid w:val="001656FA"/>
    <w:rsid w:val="00165F7F"/>
    <w:rsid w:val="00166BA0"/>
    <w:rsid w:val="001719BB"/>
    <w:rsid w:val="00172A27"/>
    <w:rsid w:val="001736E9"/>
    <w:rsid w:val="0017663E"/>
    <w:rsid w:val="001804C8"/>
    <w:rsid w:val="001808A8"/>
    <w:rsid w:val="00181D61"/>
    <w:rsid w:val="0018371F"/>
    <w:rsid w:val="00185AB4"/>
    <w:rsid w:val="00187627"/>
    <w:rsid w:val="00191A4D"/>
    <w:rsid w:val="00191AED"/>
    <w:rsid w:val="00191FA1"/>
    <w:rsid w:val="0019734C"/>
    <w:rsid w:val="001A249B"/>
    <w:rsid w:val="001A31CF"/>
    <w:rsid w:val="001A34A8"/>
    <w:rsid w:val="001A5AC8"/>
    <w:rsid w:val="001B0213"/>
    <w:rsid w:val="001B02FE"/>
    <w:rsid w:val="001B04BA"/>
    <w:rsid w:val="001B06E5"/>
    <w:rsid w:val="001B0824"/>
    <w:rsid w:val="001B2974"/>
    <w:rsid w:val="001B32A0"/>
    <w:rsid w:val="001B37B8"/>
    <w:rsid w:val="001B3FF6"/>
    <w:rsid w:val="001B74B1"/>
    <w:rsid w:val="001C0004"/>
    <w:rsid w:val="001C12FD"/>
    <w:rsid w:val="001C182C"/>
    <w:rsid w:val="001C19F1"/>
    <w:rsid w:val="001C2665"/>
    <w:rsid w:val="001C2706"/>
    <w:rsid w:val="001C2819"/>
    <w:rsid w:val="001C37F4"/>
    <w:rsid w:val="001C409D"/>
    <w:rsid w:val="001C4F2A"/>
    <w:rsid w:val="001C5362"/>
    <w:rsid w:val="001C5D21"/>
    <w:rsid w:val="001C6A17"/>
    <w:rsid w:val="001C6F25"/>
    <w:rsid w:val="001D07AD"/>
    <w:rsid w:val="001D3F69"/>
    <w:rsid w:val="001D5DD0"/>
    <w:rsid w:val="001E298C"/>
    <w:rsid w:val="001E33A6"/>
    <w:rsid w:val="001E364C"/>
    <w:rsid w:val="001E3A24"/>
    <w:rsid w:val="001E5336"/>
    <w:rsid w:val="001E63A9"/>
    <w:rsid w:val="001F0D11"/>
    <w:rsid w:val="001F2B97"/>
    <w:rsid w:val="001F2C26"/>
    <w:rsid w:val="001F4D7F"/>
    <w:rsid w:val="001F55D9"/>
    <w:rsid w:val="001F5B2A"/>
    <w:rsid w:val="001F6123"/>
    <w:rsid w:val="002011B7"/>
    <w:rsid w:val="002024C0"/>
    <w:rsid w:val="002079E4"/>
    <w:rsid w:val="00211371"/>
    <w:rsid w:val="00211394"/>
    <w:rsid w:val="00211DFB"/>
    <w:rsid w:val="00215A9F"/>
    <w:rsid w:val="00216118"/>
    <w:rsid w:val="00217033"/>
    <w:rsid w:val="00220CB4"/>
    <w:rsid w:val="0022224C"/>
    <w:rsid w:val="00223C22"/>
    <w:rsid w:val="002248D7"/>
    <w:rsid w:val="00225C7C"/>
    <w:rsid w:val="0022631E"/>
    <w:rsid w:val="0023008D"/>
    <w:rsid w:val="002327A1"/>
    <w:rsid w:val="002408E4"/>
    <w:rsid w:val="00241C35"/>
    <w:rsid w:val="002435F5"/>
    <w:rsid w:val="0024430E"/>
    <w:rsid w:val="00245412"/>
    <w:rsid w:val="00245593"/>
    <w:rsid w:val="002571D2"/>
    <w:rsid w:val="0026219F"/>
    <w:rsid w:val="00265182"/>
    <w:rsid w:val="0026550B"/>
    <w:rsid w:val="00265986"/>
    <w:rsid w:val="002664D5"/>
    <w:rsid w:val="00270046"/>
    <w:rsid w:val="00270BE1"/>
    <w:rsid w:val="00270E55"/>
    <w:rsid w:val="0027213D"/>
    <w:rsid w:val="00273AE2"/>
    <w:rsid w:val="00276888"/>
    <w:rsid w:val="00276CDB"/>
    <w:rsid w:val="00276D66"/>
    <w:rsid w:val="002805DF"/>
    <w:rsid w:val="0028243B"/>
    <w:rsid w:val="00283054"/>
    <w:rsid w:val="00290148"/>
    <w:rsid w:val="00290B4A"/>
    <w:rsid w:val="00291713"/>
    <w:rsid w:val="00293D1F"/>
    <w:rsid w:val="00297699"/>
    <w:rsid w:val="00297C9D"/>
    <w:rsid w:val="002A4490"/>
    <w:rsid w:val="002B4D30"/>
    <w:rsid w:val="002B6699"/>
    <w:rsid w:val="002B6707"/>
    <w:rsid w:val="002B6A62"/>
    <w:rsid w:val="002B70C6"/>
    <w:rsid w:val="002B7260"/>
    <w:rsid w:val="002B7C2E"/>
    <w:rsid w:val="002C0994"/>
    <w:rsid w:val="002C362F"/>
    <w:rsid w:val="002C383E"/>
    <w:rsid w:val="002C4756"/>
    <w:rsid w:val="002C5134"/>
    <w:rsid w:val="002D0CB8"/>
    <w:rsid w:val="002D126E"/>
    <w:rsid w:val="002D2032"/>
    <w:rsid w:val="002D269B"/>
    <w:rsid w:val="002D2DD3"/>
    <w:rsid w:val="002D6EAA"/>
    <w:rsid w:val="002D783D"/>
    <w:rsid w:val="002E0933"/>
    <w:rsid w:val="002E1093"/>
    <w:rsid w:val="002E2B08"/>
    <w:rsid w:val="002E2EE8"/>
    <w:rsid w:val="002E5DBA"/>
    <w:rsid w:val="002E738C"/>
    <w:rsid w:val="002E76EC"/>
    <w:rsid w:val="002E77D5"/>
    <w:rsid w:val="002E79A3"/>
    <w:rsid w:val="002F0385"/>
    <w:rsid w:val="002F0AE9"/>
    <w:rsid w:val="002F13A7"/>
    <w:rsid w:val="002F35F7"/>
    <w:rsid w:val="002F3C0B"/>
    <w:rsid w:val="002F3D28"/>
    <w:rsid w:val="002F61D8"/>
    <w:rsid w:val="002F6C9E"/>
    <w:rsid w:val="002F72A1"/>
    <w:rsid w:val="00300368"/>
    <w:rsid w:val="00302AFB"/>
    <w:rsid w:val="0030426D"/>
    <w:rsid w:val="003054F7"/>
    <w:rsid w:val="00305DBD"/>
    <w:rsid w:val="0030607B"/>
    <w:rsid w:val="00306F8D"/>
    <w:rsid w:val="003113D5"/>
    <w:rsid w:val="00313D64"/>
    <w:rsid w:val="003141CC"/>
    <w:rsid w:val="00315196"/>
    <w:rsid w:val="00317DE3"/>
    <w:rsid w:val="00321E46"/>
    <w:rsid w:val="00321F74"/>
    <w:rsid w:val="0032202C"/>
    <w:rsid w:val="00322606"/>
    <w:rsid w:val="00323189"/>
    <w:rsid w:val="003245ED"/>
    <w:rsid w:val="003246C0"/>
    <w:rsid w:val="003248A6"/>
    <w:rsid w:val="003251DE"/>
    <w:rsid w:val="00325D01"/>
    <w:rsid w:val="00325F5B"/>
    <w:rsid w:val="00326886"/>
    <w:rsid w:val="003308C2"/>
    <w:rsid w:val="003360FB"/>
    <w:rsid w:val="0033703F"/>
    <w:rsid w:val="00337094"/>
    <w:rsid w:val="0033768F"/>
    <w:rsid w:val="00337955"/>
    <w:rsid w:val="003410C9"/>
    <w:rsid w:val="003417B7"/>
    <w:rsid w:val="00341857"/>
    <w:rsid w:val="00341949"/>
    <w:rsid w:val="00341DDA"/>
    <w:rsid w:val="003428D4"/>
    <w:rsid w:val="00342DDF"/>
    <w:rsid w:val="003435FC"/>
    <w:rsid w:val="0034391B"/>
    <w:rsid w:val="00345964"/>
    <w:rsid w:val="003461F4"/>
    <w:rsid w:val="003463E0"/>
    <w:rsid w:val="00347BC6"/>
    <w:rsid w:val="003505BB"/>
    <w:rsid w:val="00350B3E"/>
    <w:rsid w:val="00352047"/>
    <w:rsid w:val="0035259A"/>
    <w:rsid w:val="0035278E"/>
    <w:rsid w:val="003538A6"/>
    <w:rsid w:val="00353D6F"/>
    <w:rsid w:val="00355321"/>
    <w:rsid w:val="003555B0"/>
    <w:rsid w:val="003557FF"/>
    <w:rsid w:val="0036027F"/>
    <w:rsid w:val="00361159"/>
    <w:rsid w:val="003622B0"/>
    <w:rsid w:val="00362986"/>
    <w:rsid w:val="00363369"/>
    <w:rsid w:val="0036490D"/>
    <w:rsid w:val="0036552E"/>
    <w:rsid w:val="00366DD7"/>
    <w:rsid w:val="00367FF0"/>
    <w:rsid w:val="003719A6"/>
    <w:rsid w:val="00374BEA"/>
    <w:rsid w:val="00375733"/>
    <w:rsid w:val="003766E1"/>
    <w:rsid w:val="00376E04"/>
    <w:rsid w:val="00380C3B"/>
    <w:rsid w:val="0038188C"/>
    <w:rsid w:val="003818A8"/>
    <w:rsid w:val="00381B34"/>
    <w:rsid w:val="003836B8"/>
    <w:rsid w:val="003847C1"/>
    <w:rsid w:val="00385E92"/>
    <w:rsid w:val="003863FB"/>
    <w:rsid w:val="00386C1A"/>
    <w:rsid w:val="003877E7"/>
    <w:rsid w:val="00391CB3"/>
    <w:rsid w:val="0039344E"/>
    <w:rsid w:val="0039368F"/>
    <w:rsid w:val="00395501"/>
    <w:rsid w:val="003A168B"/>
    <w:rsid w:val="003A1883"/>
    <w:rsid w:val="003A2870"/>
    <w:rsid w:val="003A2F54"/>
    <w:rsid w:val="003A6AB6"/>
    <w:rsid w:val="003B0DE3"/>
    <w:rsid w:val="003B1AD4"/>
    <w:rsid w:val="003B1EB4"/>
    <w:rsid w:val="003B3F1F"/>
    <w:rsid w:val="003B48F0"/>
    <w:rsid w:val="003B57F3"/>
    <w:rsid w:val="003B61A6"/>
    <w:rsid w:val="003C0855"/>
    <w:rsid w:val="003C10B1"/>
    <w:rsid w:val="003C15D9"/>
    <w:rsid w:val="003C31C1"/>
    <w:rsid w:val="003C4B1E"/>
    <w:rsid w:val="003C5C2A"/>
    <w:rsid w:val="003C6ADE"/>
    <w:rsid w:val="003D1686"/>
    <w:rsid w:val="003D1E78"/>
    <w:rsid w:val="003D2C80"/>
    <w:rsid w:val="003D2D94"/>
    <w:rsid w:val="003D32A2"/>
    <w:rsid w:val="003D4BD2"/>
    <w:rsid w:val="003D792D"/>
    <w:rsid w:val="003E2C08"/>
    <w:rsid w:val="003E42F6"/>
    <w:rsid w:val="003E7FB6"/>
    <w:rsid w:val="003F5232"/>
    <w:rsid w:val="003F536F"/>
    <w:rsid w:val="003F68CD"/>
    <w:rsid w:val="003F7925"/>
    <w:rsid w:val="00401018"/>
    <w:rsid w:val="00401082"/>
    <w:rsid w:val="00411157"/>
    <w:rsid w:val="004115A0"/>
    <w:rsid w:val="00413422"/>
    <w:rsid w:val="00414528"/>
    <w:rsid w:val="0041558E"/>
    <w:rsid w:val="0042033F"/>
    <w:rsid w:val="004221A9"/>
    <w:rsid w:val="0042221F"/>
    <w:rsid w:val="00423858"/>
    <w:rsid w:val="004259C0"/>
    <w:rsid w:val="00427138"/>
    <w:rsid w:val="0043043E"/>
    <w:rsid w:val="00431AEC"/>
    <w:rsid w:val="0043382B"/>
    <w:rsid w:val="00433A60"/>
    <w:rsid w:val="00433ADB"/>
    <w:rsid w:val="00433D12"/>
    <w:rsid w:val="0044100F"/>
    <w:rsid w:val="00441EFB"/>
    <w:rsid w:val="004441A7"/>
    <w:rsid w:val="0044623B"/>
    <w:rsid w:val="004463BE"/>
    <w:rsid w:val="004466CB"/>
    <w:rsid w:val="00447816"/>
    <w:rsid w:val="0045154F"/>
    <w:rsid w:val="0045230C"/>
    <w:rsid w:val="00454A08"/>
    <w:rsid w:val="0045515E"/>
    <w:rsid w:val="00455ECF"/>
    <w:rsid w:val="004560F6"/>
    <w:rsid w:val="0045724B"/>
    <w:rsid w:val="004628EA"/>
    <w:rsid w:val="004642DA"/>
    <w:rsid w:val="0046445B"/>
    <w:rsid w:val="00464920"/>
    <w:rsid w:val="00464CB1"/>
    <w:rsid w:val="00465FAA"/>
    <w:rsid w:val="00466F10"/>
    <w:rsid w:val="00467C84"/>
    <w:rsid w:val="00470664"/>
    <w:rsid w:val="0047141E"/>
    <w:rsid w:val="004741AB"/>
    <w:rsid w:val="00480311"/>
    <w:rsid w:val="00482BF5"/>
    <w:rsid w:val="00484465"/>
    <w:rsid w:val="004869C9"/>
    <w:rsid w:val="00486A44"/>
    <w:rsid w:val="00490155"/>
    <w:rsid w:val="00490C3F"/>
    <w:rsid w:val="00491039"/>
    <w:rsid w:val="00491CD6"/>
    <w:rsid w:val="004924C9"/>
    <w:rsid w:val="004936C6"/>
    <w:rsid w:val="00494921"/>
    <w:rsid w:val="0049494A"/>
    <w:rsid w:val="00495344"/>
    <w:rsid w:val="00496385"/>
    <w:rsid w:val="004A1F2A"/>
    <w:rsid w:val="004A3094"/>
    <w:rsid w:val="004A45BD"/>
    <w:rsid w:val="004A5406"/>
    <w:rsid w:val="004A73DA"/>
    <w:rsid w:val="004B0233"/>
    <w:rsid w:val="004B0C1B"/>
    <w:rsid w:val="004B35A4"/>
    <w:rsid w:val="004B482B"/>
    <w:rsid w:val="004B4BC7"/>
    <w:rsid w:val="004B50AB"/>
    <w:rsid w:val="004B6F7D"/>
    <w:rsid w:val="004C007E"/>
    <w:rsid w:val="004C3BAE"/>
    <w:rsid w:val="004C6210"/>
    <w:rsid w:val="004C687D"/>
    <w:rsid w:val="004C76AA"/>
    <w:rsid w:val="004D03E7"/>
    <w:rsid w:val="004D125E"/>
    <w:rsid w:val="004D2038"/>
    <w:rsid w:val="004D2AB2"/>
    <w:rsid w:val="004D38D6"/>
    <w:rsid w:val="004D422C"/>
    <w:rsid w:val="004D5042"/>
    <w:rsid w:val="004D5256"/>
    <w:rsid w:val="004D72DB"/>
    <w:rsid w:val="004E108F"/>
    <w:rsid w:val="004E11CE"/>
    <w:rsid w:val="004E1468"/>
    <w:rsid w:val="004E2332"/>
    <w:rsid w:val="004E323B"/>
    <w:rsid w:val="004E75F2"/>
    <w:rsid w:val="004E76C1"/>
    <w:rsid w:val="004F09F0"/>
    <w:rsid w:val="004F19B3"/>
    <w:rsid w:val="004F1D3B"/>
    <w:rsid w:val="004F5F38"/>
    <w:rsid w:val="005009DC"/>
    <w:rsid w:val="00500A3A"/>
    <w:rsid w:val="00500D23"/>
    <w:rsid w:val="00501B46"/>
    <w:rsid w:val="005028C4"/>
    <w:rsid w:val="00503579"/>
    <w:rsid w:val="005056ED"/>
    <w:rsid w:val="005100A0"/>
    <w:rsid w:val="005110D6"/>
    <w:rsid w:val="00514FAF"/>
    <w:rsid w:val="005165DD"/>
    <w:rsid w:val="00516713"/>
    <w:rsid w:val="0052127A"/>
    <w:rsid w:val="00523CB7"/>
    <w:rsid w:val="00524637"/>
    <w:rsid w:val="00524A06"/>
    <w:rsid w:val="00527509"/>
    <w:rsid w:val="00527CAC"/>
    <w:rsid w:val="0053077D"/>
    <w:rsid w:val="00531FE4"/>
    <w:rsid w:val="00532DCE"/>
    <w:rsid w:val="00534A19"/>
    <w:rsid w:val="00535302"/>
    <w:rsid w:val="005374AC"/>
    <w:rsid w:val="0053762C"/>
    <w:rsid w:val="00537CB0"/>
    <w:rsid w:val="005426ED"/>
    <w:rsid w:val="00547B1A"/>
    <w:rsid w:val="00550417"/>
    <w:rsid w:val="005508A3"/>
    <w:rsid w:val="00552F46"/>
    <w:rsid w:val="005544DD"/>
    <w:rsid w:val="005567E7"/>
    <w:rsid w:val="00556B7D"/>
    <w:rsid w:val="00556ED6"/>
    <w:rsid w:val="00556FF6"/>
    <w:rsid w:val="005613C4"/>
    <w:rsid w:val="00561E76"/>
    <w:rsid w:val="00563336"/>
    <w:rsid w:val="005640BE"/>
    <w:rsid w:val="00567145"/>
    <w:rsid w:val="005703FE"/>
    <w:rsid w:val="00571331"/>
    <w:rsid w:val="00572988"/>
    <w:rsid w:val="00573801"/>
    <w:rsid w:val="00574048"/>
    <w:rsid w:val="0057533A"/>
    <w:rsid w:val="00576BF7"/>
    <w:rsid w:val="00576DA1"/>
    <w:rsid w:val="00576FA3"/>
    <w:rsid w:val="00580C8C"/>
    <w:rsid w:val="005818FE"/>
    <w:rsid w:val="0058203E"/>
    <w:rsid w:val="005839DC"/>
    <w:rsid w:val="005859D9"/>
    <w:rsid w:val="00587CAD"/>
    <w:rsid w:val="00591115"/>
    <w:rsid w:val="00591751"/>
    <w:rsid w:val="00593247"/>
    <w:rsid w:val="00595D92"/>
    <w:rsid w:val="005A0105"/>
    <w:rsid w:val="005A0A28"/>
    <w:rsid w:val="005A1355"/>
    <w:rsid w:val="005A226B"/>
    <w:rsid w:val="005A227D"/>
    <w:rsid w:val="005A2C53"/>
    <w:rsid w:val="005A35B2"/>
    <w:rsid w:val="005A3808"/>
    <w:rsid w:val="005B0881"/>
    <w:rsid w:val="005B0CF7"/>
    <w:rsid w:val="005C1A60"/>
    <w:rsid w:val="005C2703"/>
    <w:rsid w:val="005C4671"/>
    <w:rsid w:val="005C72BF"/>
    <w:rsid w:val="005D0889"/>
    <w:rsid w:val="005D37DC"/>
    <w:rsid w:val="005D4ED3"/>
    <w:rsid w:val="005E153F"/>
    <w:rsid w:val="005E3745"/>
    <w:rsid w:val="005E37C7"/>
    <w:rsid w:val="005F3928"/>
    <w:rsid w:val="005F577B"/>
    <w:rsid w:val="0060089B"/>
    <w:rsid w:val="00601982"/>
    <w:rsid w:val="00603E48"/>
    <w:rsid w:val="006040A3"/>
    <w:rsid w:val="00604864"/>
    <w:rsid w:val="006069EA"/>
    <w:rsid w:val="00607853"/>
    <w:rsid w:val="006120F5"/>
    <w:rsid w:val="00613E64"/>
    <w:rsid w:val="00614BF6"/>
    <w:rsid w:val="006154EE"/>
    <w:rsid w:val="006209B9"/>
    <w:rsid w:val="006229CA"/>
    <w:rsid w:val="0062345A"/>
    <w:rsid w:val="00625624"/>
    <w:rsid w:val="0062770A"/>
    <w:rsid w:val="00627E4C"/>
    <w:rsid w:val="0063042D"/>
    <w:rsid w:val="00631557"/>
    <w:rsid w:val="0063349B"/>
    <w:rsid w:val="00634D8D"/>
    <w:rsid w:val="00642AC6"/>
    <w:rsid w:val="00643BD9"/>
    <w:rsid w:val="00645AA9"/>
    <w:rsid w:val="0065162E"/>
    <w:rsid w:val="006527E8"/>
    <w:rsid w:val="00653512"/>
    <w:rsid w:val="00655F6F"/>
    <w:rsid w:val="00657EE5"/>
    <w:rsid w:val="00660256"/>
    <w:rsid w:val="006615A5"/>
    <w:rsid w:val="006643D2"/>
    <w:rsid w:val="00665322"/>
    <w:rsid w:val="00667D3A"/>
    <w:rsid w:val="00670994"/>
    <w:rsid w:val="0067130D"/>
    <w:rsid w:val="0067158D"/>
    <w:rsid w:val="00676851"/>
    <w:rsid w:val="00676A5F"/>
    <w:rsid w:val="00677646"/>
    <w:rsid w:val="00680CCB"/>
    <w:rsid w:val="00683FE6"/>
    <w:rsid w:val="00684C39"/>
    <w:rsid w:val="00685D10"/>
    <w:rsid w:val="006923AD"/>
    <w:rsid w:val="00693226"/>
    <w:rsid w:val="00694762"/>
    <w:rsid w:val="006956D1"/>
    <w:rsid w:val="006A07BF"/>
    <w:rsid w:val="006A3D93"/>
    <w:rsid w:val="006A5307"/>
    <w:rsid w:val="006A6843"/>
    <w:rsid w:val="006A718C"/>
    <w:rsid w:val="006A743B"/>
    <w:rsid w:val="006B0389"/>
    <w:rsid w:val="006B32CA"/>
    <w:rsid w:val="006B7669"/>
    <w:rsid w:val="006C3762"/>
    <w:rsid w:val="006C43C4"/>
    <w:rsid w:val="006C6A8C"/>
    <w:rsid w:val="006C728A"/>
    <w:rsid w:val="006C7FDA"/>
    <w:rsid w:val="006D5F46"/>
    <w:rsid w:val="006D7BD0"/>
    <w:rsid w:val="006E0DB6"/>
    <w:rsid w:val="006E2A6F"/>
    <w:rsid w:val="006E2ECD"/>
    <w:rsid w:val="006E6810"/>
    <w:rsid w:val="006E7676"/>
    <w:rsid w:val="006E79F6"/>
    <w:rsid w:val="006F103A"/>
    <w:rsid w:val="006F2F73"/>
    <w:rsid w:val="006F39AB"/>
    <w:rsid w:val="006F3CFD"/>
    <w:rsid w:val="006F47BA"/>
    <w:rsid w:val="006F6550"/>
    <w:rsid w:val="006F7674"/>
    <w:rsid w:val="006F7DD8"/>
    <w:rsid w:val="00700E84"/>
    <w:rsid w:val="007014CF"/>
    <w:rsid w:val="007022BC"/>
    <w:rsid w:val="007025ED"/>
    <w:rsid w:val="00703C25"/>
    <w:rsid w:val="00704E8B"/>
    <w:rsid w:val="007073FF"/>
    <w:rsid w:val="007106FD"/>
    <w:rsid w:val="0071077D"/>
    <w:rsid w:val="0071287A"/>
    <w:rsid w:val="007136F0"/>
    <w:rsid w:val="007142EE"/>
    <w:rsid w:val="007147C6"/>
    <w:rsid w:val="007167F3"/>
    <w:rsid w:val="00716F2F"/>
    <w:rsid w:val="00721AE2"/>
    <w:rsid w:val="00722304"/>
    <w:rsid w:val="00723193"/>
    <w:rsid w:val="00724840"/>
    <w:rsid w:val="00725EC5"/>
    <w:rsid w:val="007315F8"/>
    <w:rsid w:val="0073427D"/>
    <w:rsid w:val="0073607D"/>
    <w:rsid w:val="00736C88"/>
    <w:rsid w:val="0074021B"/>
    <w:rsid w:val="00740C8D"/>
    <w:rsid w:val="007410AD"/>
    <w:rsid w:val="00741198"/>
    <w:rsid w:val="007419FB"/>
    <w:rsid w:val="007447D7"/>
    <w:rsid w:val="00745333"/>
    <w:rsid w:val="00754141"/>
    <w:rsid w:val="00754176"/>
    <w:rsid w:val="00754391"/>
    <w:rsid w:val="00754E37"/>
    <w:rsid w:val="0075582C"/>
    <w:rsid w:val="007564E7"/>
    <w:rsid w:val="007570EF"/>
    <w:rsid w:val="0076059D"/>
    <w:rsid w:val="00761104"/>
    <w:rsid w:val="007614AC"/>
    <w:rsid w:val="0076268B"/>
    <w:rsid w:val="00762CFB"/>
    <w:rsid w:val="00765178"/>
    <w:rsid w:val="007660EC"/>
    <w:rsid w:val="0076648D"/>
    <w:rsid w:val="00767B98"/>
    <w:rsid w:val="0077063D"/>
    <w:rsid w:val="00773A3B"/>
    <w:rsid w:val="00775356"/>
    <w:rsid w:val="007759AD"/>
    <w:rsid w:val="007760ED"/>
    <w:rsid w:val="0077736D"/>
    <w:rsid w:val="00780BE3"/>
    <w:rsid w:val="007816DB"/>
    <w:rsid w:val="0078399C"/>
    <w:rsid w:val="00783B40"/>
    <w:rsid w:val="007841B7"/>
    <w:rsid w:val="007913B3"/>
    <w:rsid w:val="007A440C"/>
    <w:rsid w:val="007A45B1"/>
    <w:rsid w:val="007A7B06"/>
    <w:rsid w:val="007A7F2B"/>
    <w:rsid w:val="007B08D4"/>
    <w:rsid w:val="007B0F59"/>
    <w:rsid w:val="007B1041"/>
    <w:rsid w:val="007B5073"/>
    <w:rsid w:val="007B5C83"/>
    <w:rsid w:val="007B619B"/>
    <w:rsid w:val="007B62D2"/>
    <w:rsid w:val="007B7A2B"/>
    <w:rsid w:val="007C40C7"/>
    <w:rsid w:val="007C42A4"/>
    <w:rsid w:val="007C6235"/>
    <w:rsid w:val="007C6DE0"/>
    <w:rsid w:val="007D05A4"/>
    <w:rsid w:val="007D0F61"/>
    <w:rsid w:val="007D1A75"/>
    <w:rsid w:val="007D247E"/>
    <w:rsid w:val="007D250F"/>
    <w:rsid w:val="007D3408"/>
    <w:rsid w:val="007D3A24"/>
    <w:rsid w:val="007D4010"/>
    <w:rsid w:val="007D55E2"/>
    <w:rsid w:val="007D5BB8"/>
    <w:rsid w:val="007E3307"/>
    <w:rsid w:val="007F07B5"/>
    <w:rsid w:val="007F2B04"/>
    <w:rsid w:val="007F407F"/>
    <w:rsid w:val="007F79D7"/>
    <w:rsid w:val="00800893"/>
    <w:rsid w:val="00801951"/>
    <w:rsid w:val="00804D28"/>
    <w:rsid w:val="00805282"/>
    <w:rsid w:val="008058DA"/>
    <w:rsid w:val="0081028F"/>
    <w:rsid w:val="00814DD0"/>
    <w:rsid w:val="00816626"/>
    <w:rsid w:val="008230B9"/>
    <w:rsid w:val="0082328B"/>
    <w:rsid w:val="0082334C"/>
    <w:rsid w:val="00824982"/>
    <w:rsid w:val="00824EAE"/>
    <w:rsid w:val="00826317"/>
    <w:rsid w:val="00826D6F"/>
    <w:rsid w:val="00826EB6"/>
    <w:rsid w:val="008274AE"/>
    <w:rsid w:val="008311FD"/>
    <w:rsid w:val="008347FC"/>
    <w:rsid w:val="00840069"/>
    <w:rsid w:val="00840366"/>
    <w:rsid w:val="00842A20"/>
    <w:rsid w:val="00845072"/>
    <w:rsid w:val="008500D2"/>
    <w:rsid w:val="00850140"/>
    <w:rsid w:val="008522E1"/>
    <w:rsid w:val="008558FE"/>
    <w:rsid w:val="0086010F"/>
    <w:rsid w:val="00862E90"/>
    <w:rsid w:val="00862EBE"/>
    <w:rsid w:val="00864121"/>
    <w:rsid w:val="00864283"/>
    <w:rsid w:val="00864AB9"/>
    <w:rsid w:val="008670A6"/>
    <w:rsid w:val="00867E84"/>
    <w:rsid w:val="008717AB"/>
    <w:rsid w:val="00876948"/>
    <w:rsid w:val="00880069"/>
    <w:rsid w:val="008846DC"/>
    <w:rsid w:val="00886FD7"/>
    <w:rsid w:val="008900A9"/>
    <w:rsid w:val="00890107"/>
    <w:rsid w:val="00890422"/>
    <w:rsid w:val="00890885"/>
    <w:rsid w:val="00896AEC"/>
    <w:rsid w:val="008A1BB5"/>
    <w:rsid w:val="008A2A85"/>
    <w:rsid w:val="008A3ACF"/>
    <w:rsid w:val="008A4718"/>
    <w:rsid w:val="008A59CD"/>
    <w:rsid w:val="008B2FC4"/>
    <w:rsid w:val="008B323C"/>
    <w:rsid w:val="008B40ED"/>
    <w:rsid w:val="008B4650"/>
    <w:rsid w:val="008B47F5"/>
    <w:rsid w:val="008B4E1E"/>
    <w:rsid w:val="008B5775"/>
    <w:rsid w:val="008B5ED0"/>
    <w:rsid w:val="008B68F8"/>
    <w:rsid w:val="008B79FB"/>
    <w:rsid w:val="008C1959"/>
    <w:rsid w:val="008C3F90"/>
    <w:rsid w:val="008C4161"/>
    <w:rsid w:val="008C4918"/>
    <w:rsid w:val="008C75DC"/>
    <w:rsid w:val="008D10D4"/>
    <w:rsid w:val="008D23DF"/>
    <w:rsid w:val="008D2B1B"/>
    <w:rsid w:val="008D2B63"/>
    <w:rsid w:val="008D4F0C"/>
    <w:rsid w:val="008D5D4C"/>
    <w:rsid w:val="008D6446"/>
    <w:rsid w:val="008D7158"/>
    <w:rsid w:val="008D7637"/>
    <w:rsid w:val="008E30A0"/>
    <w:rsid w:val="008E33CE"/>
    <w:rsid w:val="008E5E53"/>
    <w:rsid w:val="008E60C7"/>
    <w:rsid w:val="008E6A62"/>
    <w:rsid w:val="008E6D82"/>
    <w:rsid w:val="008F05F0"/>
    <w:rsid w:val="008F08EA"/>
    <w:rsid w:val="008F14FA"/>
    <w:rsid w:val="008F2F3E"/>
    <w:rsid w:val="008F5D17"/>
    <w:rsid w:val="008F5D5C"/>
    <w:rsid w:val="008F696F"/>
    <w:rsid w:val="0090029C"/>
    <w:rsid w:val="00901187"/>
    <w:rsid w:val="00901949"/>
    <w:rsid w:val="00902592"/>
    <w:rsid w:val="00907799"/>
    <w:rsid w:val="00911D65"/>
    <w:rsid w:val="00912EB1"/>
    <w:rsid w:val="009130BA"/>
    <w:rsid w:val="009131A3"/>
    <w:rsid w:val="009136B9"/>
    <w:rsid w:val="009142AF"/>
    <w:rsid w:val="009147A7"/>
    <w:rsid w:val="009155BE"/>
    <w:rsid w:val="00924A8F"/>
    <w:rsid w:val="009258EF"/>
    <w:rsid w:val="009270CC"/>
    <w:rsid w:val="009271CA"/>
    <w:rsid w:val="009279B3"/>
    <w:rsid w:val="00927C33"/>
    <w:rsid w:val="00927C8F"/>
    <w:rsid w:val="00927F3B"/>
    <w:rsid w:val="009314A1"/>
    <w:rsid w:val="00931E7C"/>
    <w:rsid w:val="00931FD4"/>
    <w:rsid w:val="00932628"/>
    <w:rsid w:val="00933BF7"/>
    <w:rsid w:val="00934426"/>
    <w:rsid w:val="009348DB"/>
    <w:rsid w:val="009350F9"/>
    <w:rsid w:val="00937BB2"/>
    <w:rsid w:val="00940D0D"/>
    <w:rsid w:val="00941086"/>
    <w:rsid w:val="0094186E"/>
    <w:rsid w:val="0094202E"/>
    <w:rsid w:val="00944F42"/>
    <w:rsid w:val="00946928"/>
    <w:rsid w:val="0094750B"/>
    <w:rsid w:val="00950EAB"/>
    <w:rsid w:val="00960B14"/>
    <w:rsid w:val="009621D6"/>
    <w:rsid w:val="009637F7"/>
    <w:rsid w:val="0096439C"/>
    <w:rsid w:val="009646D2"/>
    <w:rsid w:val="0096695D"/>
    <w:rsid w:val="009677E8"/>
    <w:rsid w:val="009717B8"/>
    <w:rsid w:val="00972208"/>
    <w:rsid w:val="00973C53"/>
    <w:rsid w:val="00974296"/>
    <w:rsid w:val="009749C2"/>
    <w:rsid w:val="00975840"/>
    <w:rsid w:val="00977636"/>
    <w:rsid w:val="00982FCA"/>
    <w:rsid w:val="0098795C"/>
    <w:rsid w:val="00990213"/>
    <w:rsid w:val="00993134"/>
    <w:rsid w:val="00994E0D"/>
    <w:rsid w:val="00996BD8"/>
    <w:rsid w:val="009A1B40"/>
    <w:rsid w:val="009A322E"/>
    <w:rsid w:val="009A4E6F"/>
    <w:rsid w:val="009A64A3"/>
    <w:rsid w:val="009A6895"/>
    <w:rsid w:val="009A68DC"/>
    <w:rsid w:val="009A7E51"/>
    <w:rsid w:val="009B2A76"/>
    <w:rsid w:val="009B2E4D"/>
    <w:rsid w:val="009B4D07"/>
    <w:rsid w:val="009B4FBD"/>
    <w:rsid w:val="009B527F"/>
    <w:rsid w:val="009B56EE"/>
    <w:rsid w:val="009B5DA5"/>
    <w:rsid w:val="009B5DE0"/>
    <w:rsid w:val="009C2479"/>
    <w:rsid w:val="009C25A7"/>
    <w:rsid w:val="009C2725"/>
    <w:rsid w:val="009C5989"/>
    <w:rsid w:val="009C5EEA"/>
    <w:rsid w:val="009C6A6B"/>
    <w:rsid w:val="009C73A6"/>
    <w:rsid w:val="009C74A2"/>
    <w:rsid w:val="009D03D0"/>
    <w:rsid w:val="009D14DD"/>
    <w:rsid w:val="009D1DEA"/>
    <w:rsid w:val="009D3E67"/>
    <w:rsid w:val="009D4DC8"/>
    <w:rsid w:val="009D4F9F"/>
    <w:rsid w:val="009E1F42"/>
    <w:rsid w:val="009E29FE"/>
    <w:rsid w:val="009E42C1"/>
    <w:rsid w:val="009E7548"/>
    <w:rsid w:val="009F0819"/>
    <w:rsid w:val="009F5797"/>
    <w:rsid w:val="009F5E44"/>
    <w:rsid w:val="009F76EE"/>
    <w:rsid w:val="00A00F70"/>
    <w:rsid w:val="00A01DE4"/>
    <w:rsid w:val="00A02687"/>
    <w:rsid w:val="00A04F5C"/>
    <w:rsid w:val="00A04FFD"/>
    <w:rsid w:val="00A106DB"/>
    <w:rsid w:val="00A10B1D"/>
    <w:rsid w:val="00A10BE3"/>
    <w:rsid w:val="00A13A3A"/>
    <w:rsid w:val="00A153D0"/>
    <w:rsid w:val="00A1724A"/>
    <w:rsid w:val="00A20258"/>
    <w:rsid w:val="00A20C3B"/>
    <w:rsid w:val="00A20CDC"/>
    <w:rsid w:val="00A21674"/>
    <w:rsid w:val="00A22C6B"/>
    <w:rsid w:val="00A26A5B"/>
    <w:rsid w:val="00A311CC"/>
    <w:rsid w:val="00A33CFC"/>
    <w:rsid w:val="00A33F74"/>
    <w:rsid w:val="00A354EB"/>
    <w:rsid w:val="00A37864"/>
    <w:rsid w:val="00A438C4"/>
    <w:rsid w:val="00A43DAB"/>
    <w:rsid w:val="00A44330"/>
    <w:rsid w:val="00A451AD"/>
    <w:rsid w:val="00A46051"/>
    <w:rsid w:val="00A47374"/>
    <w:rsid w:val="00A47CC1"/>
    <w:rsid w:val="00A47E80"/>
    <w:rsid w:val="00A55513"/>
    <w:rsid w:val="00A56160"/>
    <w:rsid w:val="00A56221"/>
    <w:rsid w:val="00A57757"/>
    <w:rsid w:val="00A57F84"/>
    <w:rsid w:val="00A60EB8"/>
    <w:rsid w:val="00A610A3"/>
    <w:rsid w:val="00A6127F"/>
    <w:rsid w:val="00A61D30"/>
    <w:rsid w:val="00A6239D"/>
    <w:rsid w:val="00A62639"/>
    <w:rsid w:val="00A62DB9"/>
    <w:rsid w:val="00A63DD2"/>
    <w:rsid w:val="00A647E1"/>
    <w:rsid w:val="00A65629"/>
    <w:rsid w:val="00A67901"/>
    <w:rsid w:val="00A67B63"/>
    <w:rsid w:val="00A67DED"/>
    <w:rsid w:val="00A712CB"/>
    <w:rsid w:val="00A72DD9"/>
    <w:rsid w:val="00A73D84"/>
    <w:rsid w:val="00A745F8"/>
    <w:rsid w:val="00A7734B"/>
    <w:rsid w:val="00A8094E"/>
    <w:rsid w:val="00A81651"/>
    <w:rsid w:val="00A834B3"/>
    <w:rsid w:val="00A8357A"/>
    <w:rsid w:val="00A839A1"/>
    <w:rsid w:val="00A83EA4"/>
    <w:rsid w:val="00A85604"/>
    <w:rsid w:val="00A90C9E"/>
    <w:rsid w:val="00A935E3"/>
    <w:rsid w:val="00A9374B"/>
    <w:rsid w:val="00A97FAE"/>
    <w:rsid w:val="00AA1856"/>
    <w:rsid w:val="00AA276F"/>
    <w:rsid w:val="00AA2862"/>
    <w:rsid w:val="00AA6F68"/>
    <w:rsid w:val="00AB0365"/>
    <w:rsid w:val="00AB111D"/>
    <w:rsid w:val="00AB1AB2"/>
    <w:rsid w:val="00AB29DE"/>
    <w:rsid w:val="00AB3D2D"/>
    <w:rsid w:val="00AB3D62"/>
    <w:rsid w:val="00AB45AC"/>
    <w:rsid w:val="00AB4A43"/>
    <w:rsid w:val="00AB4F04"/>
    <w:rsid w:val="00AB7176"/>
    <w:rsid w:val="00AC142F"/>
    <w:rsid w:val="00AC3B17"/>
    <w:rsid w:val="00AC759A"/>
    <w:rsid w:val="00AC7760"/>
    <w:rsid w:val="00AD2EC7"/>
    <w:rsid w:val="00AD39B8"/>
    <w:rsid w:val="00AD4062"/>
    <w:rsid w:val="00AD48E8"/>
    <w:rsid w:val="00AD51BA"/>
    <w:rsid w:val="00AE41E7"/>
    <w:rsid w:val="00AE664D"/>
    <w:rsid w:val="00AE7E00"/>
    <w:rsid w:val="00AF1F94"/>
    <w:rsid w:val="00AF27F5"/>
    <w:rsid w:val="00AF2E28"/>
    <w:rsid w:val="00AF323D"/>
    <w:rsid w:val="00AF34D5"/>
    <w:rsid w:val="00AF3A4B"/>
    <w:rsid w:val="00AF64BB"/>
    <w:rsid w:val="00AF6564"/>
    <w:rsid w:val="00B00499"/>
    <w:rsid w:val="00B01006"/>
    <w:rsid w:val="00B020CB"/>
    <w:rsid w:val="00B028D1"/>
    <w:rsid w:val="00B030B7"/>
    <w:rsid w:val="00B07B31"/>
    <w:rsid w:val="00B10D1E"/>
    <w:rsid w:val="00B11AEB"/>
    <w:rsid w:val="00B11C1E"/>
    <w:rsid w:val="00B12FBB"/>
    <w:rsid w:val="00B1321F"/>
    <w:rsid w:val="00B1422D"/>
    <w:rsid w:val="00B15135"/>
    <w:rsid w:val="00B16D39"/>
    <w:rsid w:val="00B176C2"/>
    <w:rsid w:val="00B2021E"/>
    <w:rsid w:val="00B20A19"/>
    <w:rsid w:val="00B24826"/>
    <w:rsid w:val="00B330F6"/>
    <w:rsid w:val="00B33EBE"/>
    <w:rsid w:val="00B3413F"/>
    <w:rsid w:val="00B360C0"/>
    <w:rsid w:val="00B36C57"/>
    <w:rsid w:val="00B4059D"/>
    <w:rsid w:val="00B420BF"/>
    <w:rsid w:val="00B42168"/>
    <w:rsid w:val="00B45CAB"/>
    <w:rsid w:val="00B52580"/>
    <w:rsid w:val="00B53526"/>
    <w:rsid w:val="00B5494B"/>
    <w:rsid w:val="00B57AB2"/>
    <w:rsid w:val="00B61789"/>
    <w:rsid w:val="00B643D0"/>
    <w:rsid w:val="00B6482E"/>
    <w:rsid w:val="00B701B7"/>
    <w:rsid w:val="00B71119"/>
    <w:rsid w:val="00B72236"/>
    <w:rsid w:val="00B748AA"/>
    <w:rsid w:val="00B749DA"/>
    <w:rsid w:val="00B7774A"/>
    <w:rsid w:val="00B77F02"/>
    <w:rsid w:val="00B81480"/>
    <w:rsid w:val="00B84BC0"/>
    <w:rsid w:val="00B87331"/>
    <w:rsid w:val="00B878BE"/>
    <w:rsid w:val="00B92782"/>
    <w:rsid w:val="00B9341B"/>
    <w:rsid w:val="00B93E31"/>
    <w:rsid w:val="00B97B54"/>
    <w:rsid w:val="00BA0588"/>
    <w:rsid w:val="00BA088B"/>
    <w:rsid w:val="00BA22E1"/>
    <w:rsid w:val="00BA2F1B"/>
    <w:rsid w:val="00BA2FD3"/>
    <w:rsid w:val="00BA3200"/>
    <w:rsid w:val="00BA3A8A"/>
    <w:rsid w:val="00BA60CC"/>
    <w:rsid w:val="00BB0E9C"/>
    <w:rsid w:val="00BB3DAA"/>
    <w:rsid w:val="00BB5B59"/>
    <w:rsid w:val="00BB60AC"/>
    <w:rsid w:val="00BB64C0"/>
    <w:rsid w:val="00BB6F58"/>
    <w:rsid w:val="00BB7B6C"/>
    <w:rsid w:val="00BC1759"/>
    <w:rsid w:val="00BC2B4D"/>
    <w:rsid w:val="00BD0046"/>
    <w:rsid w:val="00BD059B"/>
    <w:rsid w:val="00BD06AA"/>
    <w:rsid w:val="00BD1D4F"/>
    <w:rsid w:val="00BD3312"/>
    <w:rsid w:val="00BD4804"/>
    <w:rsid w:val="00BD489D"/>
    <w:rsid w:val="00BD72D5"/>
    <w:rsid w:val="00BD74AB"/>
    <w:rsid w:val="00BD75AF"/>
    <w:rsid w:val="00BE187F"/>
    <w:rsid w:val="00BE1976"/>
    <w:rsid w:val="00BE29CD"/>
    <w:rsid w:val="00BE2DEB"/>
    <w:rsid w:val="00BE5C17"/>
    <w:rsid w:val="00BE7937"/>
    <w:rsid w:val="00BF072C"/>
    <w:rsid w:val="00BF0C2D"/>
    <w:rsid w:val="00BF0C74"/>
    <w:rsid w:val="00BF6569"/>
    <w:rsid w:val="00BF6EC9"/>
    <w:rsid w:val="00C00A63"/>
    <w:rsid w:val="00C051F7"/>
    <w:rsid w:val="00C057B7"/>
    <w:rsid w:val="00C05B71"/>
    <w:rsid w:val="00C1148F"/>
    <w:rsid w:val="00C12124"/>
    <w:rsid w:val="00C13E3C"/>
    <w:rsid w:val="00C1527B"/>
    <w:rsid w:val="00C15B4D"/>
    <w:rsid w:val="00C16C45"/>
    <w:rsid w:val="00C176A7"/>
    <w:rsid w:val="00C17C74"/>
    <w:rsid w:val="00C17FA3"/>
    <w:rsid w:val="00C21210"/>
    <w:rsid w:val="00C2225D"/>
    <w:rsid w:val="00C24215"/>
    <w:rsid w:val="00C26973"/>
    <w:rsid w:val="00C30321"/>
    <w:rsid w:val="00C3042E"/>
    <w:rsid w:val="00C30835"/>
    <w:rsid w:val="00C322CA"/>
    <w:rsid w:val="00C32447"/>
    <w:rsid w:val="00C3266B"/>
    <w:rsid w:val="00C32679"/>
    <w:rsid w:val="00C32D6B"/>
    <w:rsid w:val="00C33DF6"/>
    <w:rsid w:val="00C34915"/>
    <w:rsid w:val="00C3560F"/>
    <w:rsid w:val="00C37E1E"/>
    <w:rsid w:val="00C40863"/>
    <w:rsid w:val="00C4184A"/>
    <w:rsid w:val="00C41936"/>
    <w:rsid w:val="00C42260"/>
    <w:rsid w:val="00C42720"/>
    <w:rsid w:val="00C42CD2"/>
    <w:rsid w:val="00C43384"/>
    <w:rsid w:val="00C47218"/>
    <w:rsid w:val="00C475F6"/>
    <w:rsid w:val="00C50AB1"/>
    <w:rsid w:val="00C51B01"/>
    <w:rsid w:val="00C5245F"/>
    <w:rsid w:val="00C54B84"/>
    <w:rsid w:val="00C550B0"/>
    <w:rsid w:val="00C60332"/>
    <w:rsid w:val="00C60903"/>
    <w:rsid w:val="00C60CC9"/>
    <w:rsid w:val="00C60E02"/>
    <w:rsid w:val="00C610F8"/>
    <w:rsid w:val="00C619CF"/>
    <w:rsid w:val="00C64067"/>
    <w:rsid w:val="00C64D98"/>
    <w:rsid w:val="00C65522"/>
    <w:rsid w:val="00C71918"/>
    <w:rsid w:val="00C722F4"/>
    <w:rsid w:val="00C76CB4"/>
    <w:rsid w:val="00C77CEF"/>
    <w:rsid w:val="00C84283"/>
    <w:rsid w:val="00C8510F"/>
    <w:rsid w:val="00C85EF2"/>
    <w:rsid w:val="00C85F75"/>
    <w:rsid w:val="00C86714"/>
    <w:rsid w:val="00C8745A"/>
    <w:rsid w:val="00C9191F"/>
    <w:rsid w:val="00C91C5B"/>
    <w:rsid w:val="00C92E35"/>
    <w:rsid w:val="00C92F9B"/>
    <w:rsid w:val="00CA0E7D"/>
    <w:rsid w:val="00CA16AD"/>
    <w:rsid w:val="00CA2BEB"/>
    <w:rsid w:val="00CA3F90"/>
    <w:rsid w:val="00CA586E"/>
    <w:rsid w:val="00CB4DB1"/>
    <w:rsid w:val="00CB5C69"/>
    <w:rsid w:val="00CB5EAE"/>
    <w:rsid w:val="00CB60D4"/>
    <w:rsid w:val="00CB616E"/>
    <w:rsid w:val="00CC377B"/>
    <w:rsid w:val="00CC5DD2"/>
    <w:rsid w:val="00CC5E2D"/>
    <w:rsid w:val="00CC60D3"/>
    <w:rsid w:val="00CC6516"/>
    <w:rsid w:val="00CC7314"/>
    <w:rsid w:val="00CD24D0"/>
    <w:rsid w:val="00CD57A5"/>
    <w:rsid w:val="00CE10D3"/>
    <w:rsid w:val="00CE3F85"/>
    <w:rsid w:val="00CE57A0"/>
    <w:rsid w:val="00CE5CA6"/>
    <w:rsid w:val="00CE658B"/>
    <w:rsid w:val="00CE7CBD"/>
    <w:rsid w:val="00CF0DEF"/>
    <w:rsid w:val="00CF223E"/>
    <w:rsid w:val="00CF4D52"/>
    <w:rsid w:val="00CF50CC"/>
    <w:rsid w:val="00CF6F24"/>
    <w:rsid w:val="00CF751D"/>
    <w:rsid w:val="00CF7961"/>
    <w:rsid w:val="00D00C99"/>
    <w:rsid w:val="00D052D6"/>
    <w:rsid w:val="00D05C83"/>
    <w:rsid w:val="00D06712"/>
    <w:rsid w:val="00D07714"/>
    <w:rsid w:val="00D0790C"/>
    <w:rsid w:val="00D1095A"/>
    <w:rsid w:val="00D11653"/>
    <w:rsid w:val="00D121C3"/>
    <w:rsid w:val="00D13068"/>
    <w:rsid w:val="00D13833"/>
    <w:rsid w:val="00D13E0B"/>
    <w:rsid w:val="00D141BB"/>
    <w:rsid w:val="00D1511B"/>
    <w:rsid w:val="00D15A59"/>
    <w:rsid w:val="00D17479"/>
    <w:rsid w:val="00D20B02"/>
    <w:rsid w:val="00D2281C"/>
    <w:rsid w:val="00D24339"/>
    <w:rsid w:val="00D256E9"/>
    <w:rsid w:val="00D25F88"/>
    <w:rsid w:val="00D27063"/>
    <w:rsid w:val="00D27AC4"/>
    <w:rsid w:val="00D332F1"/>
    <w:rsid w:val="00D33817"/>
    <w:rsid w:val="00D33A48"/>
    <w:rsid w:val="00D34440"/>
    <w:rsid w:val="00D3699E"/>
    <w:rsid w:val="00D37AF9"/>
    <w:rsid w:val="00D404CC"/>
    <w:rsid w:val="00D417A9"/>
    <w:rsid w:val="00D42A16"/>
    <w:rsid w:val="00D439E5"/>
    <w:rsid w:val="00D44732"/>
    <w:rsid w:val="00D5110F"/>
    <w:rsid w:val="00D51251"/>
    <w:rsid w:val="00D51533"/>
    <w:rsid w:val="00D52948"/>
    <w:rsid w:val="00D52B16"/>
    <w:rsid w:val="00D54D83"/>
    <w:rsid w:val="00D552E8"/>
    <w:rsid w:val="00D56377"/>
    <w:rsid w:val="00D56FBA"/>
    <w:rsid w:val="00D57703"/>
    <w:rsid w:val="00D6212C"/>
    <w:rsid w:val="00D622D3"/>
    <w:rsid w:val="00D6356B"/>
    <w:rsid w:val="00D63D08"/>
    <w:rsid w:val="00D64AE1"/>
    <w:rsid w:val="00D64DA0"/>
    <w:rsid w:val="00D65E17"/>
    <w:rsid w:val="00D70728"/>
    <w:rsid w:val="00D735A9"/>
    <w:rsid w:val="00D76E64"/>
    <w:rsid w:val="00D778A3"/>
    <w:rsid w:val="00D80C15"/>
    <w:rsid w:val="00D81275"/>
    <w:rsid w:val="00D82758"/>
    <w:rsid w:val="00D83134"/>
    <w:rsid w:val="00D84869"/>
    <w:rsid w:val="00D84A2F"/>
    <w:rsid w:val="00D853F3"/>
    <w:rsid w:val="00D8631D"/>
    <w:rsid w:val="00D865E7"/>
    <w:rsid w:val="00D869D0"/>
    <w:rsid w:val="00D87A46"/>
    <w:rsid w:val="00D9012D"/>
    <w:rsid w:val="00D91262"/>
    <w:rsid w:val="00D919D9"/>
    <w:rsid w:val="00D94726"/>
    <w:rsid w:val="00D97202"/>
    <w:rsid w:val="00DA0E7B"/>
    <w:rsid w:val="00DA19E9"/>
    <w:rsid w:val="00DA2775"/>
    <w:rsid w:val="00DA284B"/>
    <w:rsid w:val="00DA3744"/>
    <w:rsid w:val="00DA4149"/>
    <w:rsid w:val="00DA4797"/>
    <w:rsid w:val="00DB2153"/>
    <w:rsid w:val="00DB2AFC"/>
    <w:rsid w:val="00DB4E00"/>
    <w:rsid w:val="00DB5055"/>
    <w:rsid w:val="00DB7523"/>
    <w:rsid w:val="00DC3F0F"/>
    <w:rsid w:val="00DC57F4"/>
    <w:rsid w:val="00DC6282"/>
    <w:rsid w:val="00DD0F36"/>
    <w:rsid w:val="00DD33A8"/>
    <w:rsid w:val="00DD41B1"/>
    <w:rsid w:val="00DD49F1"/>
    <w:rsid w:val="00DD4B35"/>
    <w:rsid w:val="00DD5610"/>
    <w:rsid w:val="00DD563F"/>
    <w:rsid w:val="00DD6B72"/>
    <w:rsid w:val="00DE0FCF"/>
    <w:rsid w:val="00DE1ACD"/>
    <w:rsid w:val="00DE2B0E"/>
    <w:rsid w:val="00DE35FB"/>
    <w:rsid w:val="00DE415C"/>
    <w:rsid w:val="00DE44E0"/>
    <w:rsid w:val="00DE5559"/>
    <w:rsid w:val="00DE572A"/>
    <w:rsid w:val="00DE6852"/>
    <w:rsid w:val="00DE7AE3"/>
    <w:rsid w:val="00DF037C"/>
    <w:rsid w:val="00DF0B26"/>
    <w:rsid w:val="00DF0DF1"/>
    <w:rsid w:val="00DF40BD"/>
    <w:rsid w:val="00DF4652"/>
    <w:rsid w:val="00DF58DE"/>
    <w:rsid w:val="00DF6B46"/>
    <w:rsid w:val="00E0029B"/>
    <w:rsid w:val="00E015E8"/>
    <w:rsid w:val="00E03692"/>
    <w:rsid w:val="00E0386D"/>
    <w:rsid w:val="00E038D9"/>
    <w:rsid w:val="00E043B0"/>
    <w:rsid w:val="00E04A87"/>
    <w:rsid w:val="00E05623"/>
    <w:rsid w:val="00E06264"/>
    <w:rsid w:val="00E068B9"/>
    <w:rsid w:val="00E07425"/>
    <w:rsid w:val="00E0770D"/>
    <w:rsid w:val="00E10671"/>
    <w:rsid w:val="00E1123B"/>
    <w:rsid w:val="00E15241"/>
    <w:rsid w:val="00E20C45"/>
    <w:rsid w:val="00E21673"/>
    <w:rsid w:val="00E23C18"/>
    <w:rsid w:val="00E27A3F"/>
    <w:rsid w:val="00E27DAC"/>
    <w:rsid w:val="00E33EE4"/>
    <w:rsid w:val="00E34C4E"/>
    <w:rsid w:val="00E36DB5"/>
    <w:rsid w:val="00E37B0C"/>
    <w:rsid w:val="00E412A9"/>
    <w:rsid w:val="00E43249"/>
    <w:rsid w:val="00E43F6B"/>
    <w:rsid w:val="00E502DF"/>
    <w:rsid w:val="00E52008"/>
    <w:rsid w:val="00E53F33"/>
    <w:rsid w:val="00E57890"/>
    <w:rsid w:val="00E61BE1"/>
    <w:rsid w:val="00E61D07"/>
    <w:rsid w:val="00E634C9"/>
    <w:rsid w:val="00E6650F"/>
    <w:rsid w:val="00E8373A"/>
    <w:rsid w:val="00E84F83"/>
    <w:rsid w:val="00E86E91"/>
    <w:rsid w:val="00E93B1B"/>
    <w:rsid w:val="00E953FB"/>
    <w:rsid w:val="00E95B97"/>
    <w:rsid w:val="00E969D0"/>
    <w:rsid w:val="00EA10BE"/>
    <w:rsid w:val="00EA375E"/>
    <w:rsid w:val="00EA3C90"/>
    <w:rsid w:val="00EA3E08"/>
    <w:rsid w:val="00EA406C"/>
    <w:rsid w:val="00EA7190"/>
    <w:rsid w:val="00EA7B60"/>
    <w:rsid w:val="00EB00AC"/>
    <w:rsid w:val="00EB01C9"/>
    <w:rsid w:val="00EB224D"/>
    <w:rsid w:val="00EB2CA2"/>
    <w:rsid w:val="00EB2CC8"/>
    <w:rsid w:val="00EB3309"/>
    <w:rsid w:val="00EB622A"/>
    <w:rsid w:val="00EC1DF7"/>
    <w:rsid w:val="00EC5248"/>
    <w:rsid w:val="00EC5552"/>
    <w:rsid w:val="00EC6CC2"/>
    <w:rsid w:val="00ED10DA"/>
    <w:rsid w:val="00ED1C0A"/>
    <w:rsid w:val="00ED7FCA"/>
    <w:rsid w:val="00EE1823"/>
    <w:rsid w:val="00EE29E8"/>
    <w:rsid w:val="00EE3AD0"/>
    <w:rsid w:val="00EE3E21"/>
    <w:rsid w:val="00EE4BF7"/>
    <w:rsid w:val="00EE594C"/>
    <w:rsid w:val="00EE606E"/>
    <w:rsid w:val="00EE6DB8"/>
    <w:rsid w:val="00EF0230"/>
    <w:rsid w:val="00EF2548"/>
    <w:rsid w:val="00EF4C6D"/>
    <w:rsid w:val="00EF50A1"/>
    <w:rsid w:val="00EF723B"/>
    <w:rsid w:val="00EF731B"/>
    <w:rsid w:val="00F00F7A"/>
    <w:rsid w:val="00F01073"/>
    <w:rsid w:val="00F01881"/>
    <w:rsid w:val="00F064B3"/>
    <w:rsid w:val="00F070C3"/>
    <w:rsid w:val="00F12581"/>
    <w:rsid w:val="00F17E8F"/>
    <w:rsid w:val="00F22652"/>
    <w:rsid w:val="00F247DE"/>
    <w:rsid w:val="00F25C35"/>
    <w:rsid w:val="00F2795B"/>
    <w:rsid w:val="00F27FAC"/>
    <w:rsid w:val="00F30B12"/>
    <w:rsid w:val="00F32CA6"/>
    <w:rsid w:val="00F3660F"/>
    <w:rsid w:val="00F371ED"/>
    <w:rsid w:val="00F37BE4"/>
    <w:rsid w:val="00F40E0A"/>
    <w:rsid w:val="00F416B5"/>
    <w:rsid w:val="00F417FD"/>
    <w:rsid w:val="00F41F89"/>
    <w:rsid w:val="00F42070"/>
    <w:rsid w:val="00F428A6"/>
    <w:rsid w:val="00F43E03"/>
    <w:rsid w:val="00F44AFC"/>
    <w:rsid w:val="00F45148"/>
    <w:rsid w:val="00F477AA"/>
    <w:rsid w:val="00F543C8"/>
    <w:rsid w:val="00F544AC"/>
    <w:rsid w:val="00F563F6"/>
    <w:rsid w:val="00F571CF"/>
    <w:rsid w:val="00F57E5E"/>
    <w:rsid w:val="00F6012A"/>
    <w:rsid w:val="00F60469"/>
    <w:rsid w:val="00F60C65"/>
    <w:rsid w:val="00F61194"/>
    <w:rsid w:val="00F63E5F"/>
    <w:rsid w:val="00F64852"/>
    <w:rsid w:val="00F64EFC"/>
    <w:rsid w:val="00F65C27"/>
    <w:rsid w:val="00F66DE6"/>
    <w:rsid w:val="00F677C8"/>
    <w:rsid w:val="00F709C2"/>
    <w:rsid w:val="00F73983"/>
    <w:rsid w:val="00F82777"/>
    <w:rsid w:val="00F8298C"/>
    <w:rsid w:val="00F83375"/>
    <w:rsid w:val="00F86ECD"/>
    <w:rsid w:val="00F87ECC"/>
    <w:rsid w:val="00F90B11"/>
    <w:rsid w:val="00F91E25"/>
    <w:rsid w:val="00F93014"/>
    <w:rsid w:val="00F940C5"/>
    <w:rsid w:val="00F959D1"/>
    <w:rsid w:val="00F95B10"/>
    <w:rsid w:val="00F96500"/>
    <w:rsid w:val="00F96781"/>
    <w:rsid w:val="00FA0476"/>
    <w:rsid w:val="00FA324E"/>
    <w:rsid w:val="00FA34C7"/>
    <w:rsid w:val="00FA4296"/>
    <w:rsid w:val="00FA5788"/>
    <w:rsid w:val="00FA5B5C"/>
    <w:rsid w:val="00FA5BF7"/>
    <w:rsid w:val="00FA5C6A"/>
    <w:rsid w:val="00FA686C"/>
    <w:rsid w:val="00FA7226"/>
    <w:rsid w:val="00FB0F06"/>
    <w:rsid w:val="00FB2405"/>
    <w:rsid w:val="00FB2D02"/>
    <w:rsid w:val="00FB6405"/>
    <w:rsid w:val="00FC041D"/>
    <w:rsid w:val="00FC17DC"/>
    <w:rsid w:val="00FC2796"/>
    <w:rsid w:val="00FC3751"/>
    <w:rsid w:val="00FC6D23"/>
    <w:rsid w:val="00FC6E3C"/>
    <w:rsid w:val="00FC6E7B"/>
    <w:rsid w:val="00FC7689"/>
    <w:rsid w:val="00FD279B"/>
    <w:rsid w:val="00FD30EF"/>
    <w:rsid w:val="00FD358A"/>
    <w:rsid w:val="00FD3800"/>
    <w:rsid w:val="00FD7B76"/>
    <w:rsid w:val="00FE00F3"/>
    <w:rsid w:val="00FE1D4F"/>
    <w:rsid w:val="00FE339F"/>
    <w:rsid w:val="00FE5DE6"/>
    <w:rsid w:val="00FE6FFE"/>
    <w:rsid w:val="00FF4895"/>
    <w:rsid w:val="00FF4BBE"/>
    <w:rsid w:val="00FF4FE6"/>
    <w:rsid w:val="00FF55D5"/>
    <w:rsid w:val="00FF7186"/>
    <w:rsid w:val="00FF7F7B"/>
    <w:rsid w:val="01064C9A"/>
    <w:rsid w:val="01064E01"/>
    <w:rsid w:val="010827C0"/>
    <w:rsid w:val="01141165"/>
    <w:rsid w:val="0119243E"/>
    <w:rsid w:val="01255120"/>
    <w:rsid w:val="012B4B0F"/>
    <w:rsid w:val="0136557F"/>
    <w:rsid w:val="01521C8D"/>
    <w:rsid w:val="01527EDF"/>
    <w:rsid w:val="01636B06"/>
    <w:rsid w:val="01765FEB"/>
    <w:rsid w:val="017716F4"/>
    <w:rsid w:val="0196391F"/>
    <w:rsid w:val="01B17181"/>
    <w:rsid w:val="01D32DCE"/>
    <w:rsid w:val="01DC6B24"/>
    <w:rsid w:val="01E271FF"/>
    <w:rsid w:val="01EC0334"/>
    <w:rsid w:val="01FA65AD"/>
    <w:rsid w:val="02090B42"/>
    <w:rsid w:val="02104022"/>
    <w:rsid w:val="02357F37"/>
    <w:rsid w:val="02420E41"/>
    <w:rsid w:val="025A34EF"/>
    <w:rsid w:val="026D0ACF"/>
    <w:rsid w:val="02883D22"/>
    <w:rsid w:val="029167E5"/>
    <w:rsid w:val="02AE7CE0"/>
    <w:rsid w:val="02C362F0"/>
    <w:rsid w:val="02DA018C"/>
    <w:rsid w:val="02E74F40"/>
    <w:rsid w:val="02FC00BE"/>
    <w:rsid w:val="030B2A3C"/>
    <w:rsid w:val="03100052"/>
    <w:rsid w:val="03103BAE"/>
    <w:rsid w:val="03107A5C"/>
    <w:rsid w:val="0319393C"/>
    <w:rsid w:val="031D4D58"/>
    <w:rsid w:val="032633D2"/>
    <w:rsid w:val="03364417"/>
    <w:rsid w:val="034321D6"/>
    <w:rsid w:val="036F4D79"/>
    <w:rsid w:val="037E0AF6"/>
    <w:rsid w:val="039B3DC0"/>
    <w:rsid w:val="03A52548"/>
    <w:rsid w:val="03A569EC"/>
    <w:rsid w:val="03C2134C"/>
    <w:rsid w:val="03CE5F43"/>
    <w:rsid w:val="03DF1EFE"/>
    <w:rsid w:val="03F37758"/>
    <w:rsid w:val="03F47149"/>
    <w:rsid w:val="04043713"/>
    <w:rsid w:val="0414147C"/>
    <w:rsid w:val="041D47D5"/>
    <w:rsid w:val="0449381C"/>
    <w:rsid w:val="04770389"/>
    <w:rsid w:val="048A5236"/>
    <w:rsid w:val="048C7A84"/>
    <w:rsid w:val="04932CE9"/>
    <w:rsid w:val="04964773"/>
    <w:rsid w:val="049820AD"/>
    <w:rsid w:val="04B8274F"/>
    <w:rsid w:val="04D330E5"/>
    <w:rsid w:val="04E83035"/>
    <w:rsid w:val="050F6813"/>
    <w:rsid w:val="05171224"/>
    <w:rsid w:val="051947D4"/>
    <w:rsid w:val="051A52AD"/>
    <w:rsid w:val="052037ED"/>
    <w:rsid w:val="052D46CE"/>
    <w:rsid w:val="05356251"/>
    <w:rsid w:val="0539336E"/>
    <w:rsid w:val="054B5371"/>
    <w:rsid w:val="05511FC0"/>
    <w:rsid w:val="05524952"/>
    <w:rsid w:val="055C30DB"/>
    <w:rsid w:val="05695602"/>
    <w:rsid w:val="056C231C"/>
    <w:rsid w:val="05710988"/>
    <w:rsid w:val="05791EDF"/>
    <w:rsid w:val="058D7738"/>
    <w:rsid w:val="05962A91"/>
    <w:rsid w:val="05A827C4"/>
    <w:rsid w:val="05C61C62"/>
    <w:rsid w:val="05CA273A"/>
    <w:rsid w:val="05CF7D50"/>
    <w:rsid w:val="05D435B9"/>
    <w:rsid w:val="05DC421B"/>
    <w:rsid w:val="05E7509A"/>
    <w:rsid w:val="05FE23E4"/>
    <w:rsid w:val="06043E9E"/>
    <w:rsid w:val="06085010"/>
    <w:rsid w:val="06127C3D"/>
    <w:rsid w:val="062005AC"/>
    <w:rsid w:val="062A31D9"/>
    <w:rsid w:val="062E0F1B"/>
    <w:rsid w:val="063B7C77"/>
    <w:rsid w:val="064222D0"/>
    <w:rsid w:val="064833EA"/>
    <w:rsid w:val="0648365F"/>
    <w:rsid w:val="06494EFE"/>
    <w:rsid w:val="06563FCE"/>
    <w:rsid w:val="066466EB"/>
    <w:rsid w:val="06657DDF"/>
    <w:rsid w:val="066A7A79"/>
    <w:rsid w:val="066E7569"/>
    <w:rsid w:val="068648B3"/>
    <w:rsid w:val="068F128E"/>
    <w:rsid w:val="069114AA"/>
    <w:rsid w:val="06915006"/>
    <w:rsid w:val="069B5E85"/>
    <w:rsid w:val="06A32B3B"/>
    <w:rsid w:val="06B156A8"/>
    <w:rsid w:val="06C07699"/>
    <w:rsid w:val="06C3238E"/>
    <w:rsid w:val="06DF5D71"/>
    <w:rsid w:val="06ED4932"/>
    <w:rsid w:val="06EE4206"/>
    <w:rsid w:val="071E0F8F"/>
    <w:rsid w:val="07267E44"/>
    <w:rsid w:val="072B5161"/>
    <w:rsid w:val="074F739B"/>
    <w:rsid w:val="075D64AE"/>
    <w:rsid w:val="075E138C"/>
    <w:rsid w:val="07644E31"/>
    <w:rsid w:val="077F78AB"/>
    <w:rsid w:val="07941252"/>
    <w:rsid w:val="07B40FAC"/>
    <w:rsid w:val="07B74BC0"/>
    <w:rsid w:val="07C37441"/>
    <w:rsid w:val="07D258D6"/>
    <w:rsid w:val="07ED2710"/>
    <w:rsid w:val="07FC0BA5"/>
    <w:rsid w:val="08242A75"/>
    <w:rsid w:val="082C148A"/>
    <w:rsid w:val="083324AD"/>
    <w:rsid w:val="0839692A"/>
    <w:rsid w:val="083D71F3"/>
    <w:rsid w:val="084A1910"/>
    <w:rsid w:val="08534C69"/>
    <w:rsid w:val="085E53BC"/>
    <w:rsid w:val="085F360E"/>
    <w:rsid w:val="08856DEC"/>
    <w:rsid w:val="08887F94"/>
    <w:rsid w:val="08A116F6"/>
    <w:rsid w:val="08AE1E9F"/>
    <w:rsid w:val="08B82D1E"/>
    <w:rsid w:val="08D00067"/>
    <w:rsid w:val="08E12275"/>
    <w:rsid w:val="08E65ADD"/>
    <w:rsid w:val="08F303A1"/>
    <w:rsid w:val="08FF094D"/>
    <w:rsid w:val="090221EB"/>
    <w:rsid w:val="091837BC"/>
    <w:rsid w:val="09196E58"/>
    <w:rsid w:val="091A5787"/>
    <w:rsid w:val="0923288D"/>
    <w:rsid w:val="09246605"/>
    <w:rsid w:val="0926153B"/>
    <w:rsid w:val="092D370C"/>
    <w:rsid w:val="0932487E"/>
    <w:rsid w:val="09353948"/>
    <w:rsid w:val="093D767B"/>
    <w:rsid w:val="095D153A"/>
    <w:rsid w:val="09656CA2"/>
    <w:rsid w:val="0972111F"/>
    <w:rsid w:val="099A0675"/>
    <w:rsid w:val="099E1F14"/>
    <w:rsid w:val="09A53E28"/>
    <w:rsid w:val="09EF63D8"/>
    <w:rsid w:val="09F506BC"/>
    <w:rsid w:val="09F61D50"/>
    <w:rsid w:val="0A261F09"/>
    <w:rsid w:val="0A2D4244"/>
    <w:rsid w:val="0A2F7010"/>
    <w:rsid w:val="0A3B3C06"/>
    <w:rsid w:val="0A444601"/>
    <w:rsid w:val="0A4F76B2"/>
    <w:rsid w:val="0A592759"/>
    <w:rsid w:val="0A59408D"/>
    <w:rsid w:val="0A5F3FD4"/>
    <w:rsid w:val="0A73514E"/>
    <w:rsid w:val="0A7D5FCD"/>
    <w:rsid w:val="0A8E01DA"/>
    <w:rsid w:val="0A941CBE"/>
    <w:rsid w:val="0AB242A0"/>
    <w:rsid w:val="0ABC2665"/>
    <w:rsid w:val="0AD025A1"/>
    <w:rsid w:val="0ADD081A"/>
    <w:rsid w:val="0AF12517"/>
    <w:rsid w:val="0AF344E1"/>
    <w:rsid w:val="0AF50259"/>
    <w:rsid w:val="0B1A7CC0"/>
    <w:rsid w:val="0B220922"/>
    <w:rsid w:val="0B5036E2"/>
    <w:rsid w:val="0B877EBE"/>
    <w:rsid w:val="0B8E7D66"/>
    <w:rsid w:val="0BA921AF"/>
    <w:rsid w:val="0BAB4DBC"/>
    <w:rsid w:val="0BB93035"/>
    <w:rsid w:val="0BD47E6F"/>
    <w:rsid w:val="0BD95485"/>
    <w:rsid w:val="0BDC4F75"/>
    <w:rsid w:val="0BF34142"/>
    <w:rsid w:val="0C03656C"/>
    <w:rsid w:val="0C0A3890"/>
    <w:rsid w:val="0C104C1F"/>
    <w:rsid w:val="0C106C2F"/>
    <w:rsid w:val="0C201306"/>
    <w:rsid w:val="0C234952"/>
    <w:rsid w:val="0C2B1A59"/>
    <w:rsid w:val="0C3703FE"/>
    <w:rsid w:val="0C4517CC"/>
    <w:rsid w:val="0C472848"/>
    <w:rsid w:val="0C4B5C57"/>
    <w:rsid w:val="0C6048CE"/>
    <w:rsid w:val="0C607954"/>
    <w:rsid w:val="0C61547A"/>
    <w:rsid w:val="0C7C4062"/>
    <w:rsid w:val="0C801DA5"/>
    <w:rsid w:val="0C871385"/>
    <w:rsid w:val="0CAA5073"/>
    <w:rsid w:val="0CB657C6"/>
    <w:rsid w:val="0CC46135"/>
    <w:rsid w:val="0CCE5258"/>
    <w:rsid w:val="0CD65A62"/>
    <w:rsid w:val="0CDD2D53"/>
    <w:rsid w:val="0CE340E1"/>
    <w:rsid w:val="0CFE7C2B"/>
    <w:rsid w:val="0D1349C7"/>
    <w:rsid w:val="0D2210AE"/>
    <w:rsid w:val="0D25559D"/>
    <w:rsid w:val="0D2C5A88"/>
    <w:rsid w:val="0D3606B5"/>
    <w:rsid w:val="0D366907"/>
    <w:rsid w:val="0D556D8D"/>
    <w:rsid w:val="0D587038"/>
    <w:rsid w:val="0D6B4803"/>
    <w:rsid w:val="0D8256A8"/>
    <w:rsid w:val="0D86163D"/>
    <w:rsid w:val="0D98311E"/>
    <w:rsid w:val="0D9C2C0E"/>
    <w:rsid w:val="0DFA7935"/>
    <w:rsid w:val="0E1127E8"/>
    <w:rsid w:val="0E124C7E"/>
    <w:rsid w:val="0E2A646C"/>
    <w:rsid w:val="0E356BBF"/>
    <w:rsid w:val="0E5B4877"/>
    <w:rsid w:val="0E5C05EF"/>
    <w:rsid w:val="0E611762"/>
    <w:rsid w:val="0E6D0107"/>
    <w:rsid w:val="0ECF2B6F"/>
    <w:rsid w:val="0EDD34DE"/>
    <w:rsid w:val="0EE1395D"/>
    <w:rsid w:val="0EF76079"/>
    <w:rsid w:val="0EFA4090"/>
    <w:rsid w:val="0F0F7410"/>
    <w:rsid w:val="0F2B75E2"/>
    <w:rsid w:val="0F333722"/>
    <w:rsid w:val="0F487A94"/>
    <w:rsid w:val="0F4D2F76"/>
    <w:rsid w:val="0F582B65"/>
    <w:rsid w:val="0F5B4403"/>
    <w:rsid w:val="0F661726"/>
    <w:rsid w:val="0F865924"/>
    <w:rsid w:val="0F900551"/>
    <w:rsid w:val="0F954372"/>
    <w:rsid w:val="0FA80F53"/>
    <w:rsid w:val="0FAF6255"/>
    <w:rsid w:val="0FC621C4"/>
    <w:rsid w:val="0FD348E1"/>
    <w:rsid w:val="0FD7617F"/>
    <w:rsid w:val="0FEA282E"/>
    <w:rsid w:val="0FEF4296"/>
    <w:rsid w:val="0FFA1E6E"/>
    <w:rsid w:val="102D3FF1"/>
    <w:rsid w:val="102D6B2C"/>
    <w:rsid w:val="104A6951"/>
    <w:rsid w:val="105D24B8"/>
    <w:rsid w:val="1074577C"/>
    <w:rsid w:val="10844706"/>
    <w:rsid w:val="108F6A5A"/>
    <w:rsid w:val="10A65B52"/>
    <w:rsid w:val="10B03CBD"/>
    <w:rsid w:val="10DD4DDE"/>
    <w:rsid w:val="10E548CC"/>
    <w:rsid w:val="10ED0616"/>
    <w:rsid w:val="10ED552F"/>
    <w:rsid w:val="110662D0"/>
    <w:rsid w:val="110C1E59"/>
    <w:rsid w:val="110F36F7"/>
    <w:rsid w:val="113349F9"/>
    <w:rsid w:val="11390774"/>
    <w:rsid w:val="113E3FDC"/>
    <w:rsid w:val="1149718D"/>
    <w:rsid w:val="11527936"/>
    <w:rsid w:val="11661336"/>
    <w:rsid w:val="116B3023"/>
    <w:rsid w:val="11744246"/>
    <w:rsid w:val="11845E93"/>
    <w:rsid w:val="118E0AC0"/>
    <w:rsid w:val="11C10E95"/>
    <w:rsid w:val="11DD1A47"/>
    <w:rsid w:val="11F052D6"/>
    <w:rsid w:val="12062D04"/>
    <w:rsid w:val="120D26FF"/>
    <w:rsid w:val="12105979"/>
    <w:rsid w:val="12260CF8"/>
    <w:rsid w:val="12753A2E"/>
    <w:rsid w:val="127C3838"/>
    <w:rsid w:val="127E28E2"/>
    <w:rsid w:val="129C745E"/>
    <w:rsid w:val="12A54313"/>
    <w:rsid w:val="12AB2CA4"/>
    <w:rsid w:val="12B16B16"/>
    <w:rsid w:val="12B74046"/>
    <w:rsid w:val="12BB2290"/>
    <w:rsid w:val="12C22078"/>
    <w:rsid w:val="12CB4624"/>
    <w:rsid w:val="12E0359D"/>
    <w:rsid w:val="12FC7CAB"/>
    <w:rsid w:val="130848A2"/>
    <w:rsid w:val="13286E3E"/>
    <w:rsid w:val="133F0E9C"/>
    <w:rsid w:val="135D4BEE"/>
    <w:rsid w:val="136715C8"/>
    <w:rsid w:val="136A4847"/>
    <w:rsid w:val="137D7A71"/>
    <w:rsid w:val="13AE5CE2"/>
    <w:rsid w:val="13E23345"/>
    <w:rsid w:val="13E72709"/>
    <w:rsid w:val="13EB21F9"/>
    <w:rsid w:val="13F466E6"/>
    <w:rsid w:val="140711A0"/>
    <w:rsid w:val="14244083"/>
    <w:rsid w:val="14261574"/>
    <w:rsid w:val="14340E2E"/>
    <w:rsid w:val="14412DC4"/>
    <w:rsid w:val="14425B91"/>
    <w:rsid w:val="14581832"/>
    <w:rsid w:val="145853B5"/>
    <w:rsid w:val="145A737F"/>
    <w:rsid w:val="146A2D00"/>
    <w:rsid w:val="146B158C"/>
    <w:rsid w:val="14710F49"/>
    <w:rsid w:val="14900FF3"/>
    <w:rsid w:val="149E726C"/>
    <w:rsid w:val="14A8633C"/>
    <w:rsid w:val="14AE60CC"/>
    <w:rsid w:val="14B77963"/>
    <w:rsid w:val="14BF467D"/>
    <w:rsid w:val="14E530ED"/>
    <w:rsid w:val="14ED0F85"/>
    <w:rsid w:val="15023C9F"/>
    <w:rsid w:val="15271BBC"/>
    <w:rsid w:val="152754B3"/>
    <w:rsid w:val="153D4CD7"/>
    <w:rsid w:val="15477903"/>
    <w:rsid w:val="156A1844"/>
    <w:rsid w:val="158A5A42"/>
    <w:rsid w:val="15A146D6"/>
    <w:rsid w:val="15A33D36"/>
    <w:rsid w:val="15BB3E4D"/>
    <w:rsid w:val="15CB4686"/>
    <w:rsid w:val="15E9558A"/>
    <w:rsid w:val="160550C9"/>
    <w:rsid w:val="161A6DC6"/>
    <w:rsid w:val="16297009"/>
    <w:rsid w:val="162A16C6"/>
    <w:rsid w:val="16466CE3"/>
    <w:rsid w:val="164B6AF4"/>
    <w:rsid w:val="164B6F7F"/>
    <w:rsid w:val="165F0C7D"/>
    <w:rsid w:val="1662251B"/>
    <w:rsid w:val="1663076D"/>
    <w:rsid w:val="16783AEC"/>
    <w:rsid w:val="167D1103"/>
    <w:rsid w:val="168406E3"/>
    <w:rsid w:val="168F3D98"/>
    <w:rsid w:val="16B10630"/>
    <w:rsid w:val="16CB6C75"/>
    <w:rsid w:val="16E178E4"/>
    <w:rsid w:val="16EF6FEC"/>
    <w:rsid w:val="1714307E"/>
    <w:rsid w:val="171750B3"/>
    <w:rsid w:val="172C2B89"/>
    <w:rsid w:val="172D0D7B"/>
    <w:rsid w:val="173D7210"/>
    <w:rsid w:val="17451C21"/>
    <w:rsid w:val="1752258F"/>
    <w:rsid w:val="175570D1"/>
    <w:rsid w:val="17591B70"/>
    <w:rsid w:val="17602EFE"/>
    <w:rsid w:val="1767428D"/>
    <w:rsid w:val="176C18A3"/>
    <w:rsid w:val="176D5CB1"/>
    <w:rsid w:val="177F60D4"/>
    <w:rsid w:val="17854EE9"/>
    <w:rsid w:val="178D5376"/>
    <w:rsid w:val="178F10EE"/>
    <w:rsid w:val="178F6402"/>
    <w:rsid w:val="179136B5"/>
    <w:rsid w:val="17C4348D"/>
    <w:rsid w:val="17D411F6"/>
    <w:rsid w:val="17E134ED"/>
    <w:rsid w:val="17E21B65"/>
    <w:rsid w:val="17E256C1"/>
    <w:rsid w:val="17E70F2A"/>
    <w:rsid w:val="17EF7DDE"/>
    <w:rsid w:val="17F34A8B"/>
    <w:rsid w:val="17F938F8"/>
    <w:rsid w:val="17FB3564"/>
    <w:rsid w:val="180550B5"/>
    <w:rsid w:val="181D47CC"/>
    <w:rsid w:val="18506ACF"/>
    <w:rsid w:val="18537BB1"/>
    <w:rsid w:val="186B3909"/>
    <w:rsid w:val="18787E65"/>
    <w:rsid w:val="187F5606"/>
    <w:rsid w:val="18876269"/>
    <w:rsid w:val="189F17A3"/>
    <w:rsid w:val="18A05D08"/>
    <w:rsid w:val="18A706B9"/>
    <w:rsid w:val="18A90A4A"/>
    <w:rsid w:val="18B74DA0"/>
    <w:rsid w:val="18BC6B24"/>
    <w:rsid w:val="18C90755"/>
    <w:rsid w:val="18E13BCB"/>
    <w:rsid w:val="18E768FA"/>
    <w:rsid w:val="18E90CD1"/>
    <w:rsid w:val="19053D5D"/>
    <w:rsid w:val="191C59B6"/>
    <w:rsid w:val="19232435"/>
    <w:rsid w:val="192A750C"/>
    <w:rsid w:val="192F0DDA"/>
    <w:rsid w:val="195D78AF"/>
    <w:rsid w:val="1977452F"/>
    <w:rsid w:val="198C76C2"/>
    <w:rsid w:val="19930475"/>
    <w:rsid w:val="199576EF"/>
    <w:rsid w:val="1998089B"/>
    <w:rsid w:val="199E386A"/>
    <w:rsid w:val="19A52E4A"/>
    <w:rsid w:val="19B0700E"/>
    <w:rsid w:val="19B25567"/>
    <w:rsid w:val="19C5529B"/>
    <w:rsid w:val="19D21766"/>
    <w:rsid w:val="19DC4392"/>
    <w:rsid w:val="19E574AA"/>
    <w:rsid w:val="1A0A0EFF"/>
    <w:rsid w:val="1A163D48"/>
    <w:rsid w:val="1A1F089C"/>
    <w:rsid w:val="1A204BC7"/>
    <w:rsid w:val="1A3379EF"/>
    <w:rsid w:val="1A3E1890"/>
    <w:rsid w:val="1A43665E"/>
    <w:rsid w:val="1A530AF8"/>
    <w:rsid w:val="1AAD5EDE"/>
    <w:rsid w:val="1AE23C2A"/>
    <w:rsid w:val="1AE479A2"/>
    <w:rsid w:val="1B102545"/>
    <w:rsid w:val="1B165A1D"/>
    <w:rsid w:val="1B193FA1"/>
    <w:rsid w:val="1B1A7868"/>
    <w:rsid w:val="1B22107E"/>
    <w:rsid w:val="1B356450"/>
    <w:rsid w:val="1B3A723B"/>
    <w:rsid w:val="1B44240C"/>
    <w:rsid w:val="1B516D3B"/>
    <w:rsid w:val="1B545715"/>
    <w:rsid w:val="1B6F1962"/>
    <w:rsid w:val="1B8F3DB2"/>
    <w:rsid w:val="1B8F5B60"/>
    <w:rsid w:val="1B923884"/>
    <w:rsid w:val="1B9969DF"/>
    <w:rsid w:val="1B9C08AA"/>
    <w:rsid w:val="1BA3160C"/>
    <w:rsid w:val="1BC51582"/>
    <w:rsid w:val="1BCD428E"/>
    <w:rsid w:val="1BD73063"/>
    <w:rsid w:val="1BDB6FF7"/>
    <w:rsid w:val="1BE870EB"/>
    <w:rsid w:val="1BF9747E"/>
    <w:rsid w:val="1C026332"/>
    <w:rsid w:val="1C064005"/>
    <w:rsid w:val="1C1E0C92"/>
    <w:rsid w:val="1C4701E9"/>
    <w:rsid w:val="1C506B4B"/>
    <w:rsid w:val="1C752986"/>
    <w:rsid w:val="1C7865F4"/>
    <w:rsid w:val="1C961170"/>
    <w:rsid w:val="1CB21067"/>
    <w:rsid w:val="1CBB2985"/>
    <w:rsid w:val="1CC60395"/>
    <w:rsid w:val="1CD23133"/>
    <w:rsid w:val="1CD83537"/>
    <w:rsid w:val="1CE4135D"/>
    <w:rsid w:val="1CF30371"/>
    <w:rsid w:val="1D097B5B"/>
    <w:rsid w:val="1D0B56BA"/>
    <w:rsid w:val="1D1722B1"/>
    <w:rsid w:val="1D365D0A"/>
    <w:rsid w:val="1D3855FE"/>
    <w:rsid w:val="1D3E783E"/>
    <w:rsid w:val="1D4D2C38"/>
    <w:rsid w:val="1D6372A4"/>
    <w:rsid w:val="1D6848BB"/>
    <w:rsid w:val="1D7457C4"/>
    <w:rsid w:val="1D76522A"/>
    <w:rsid w:val="1D794E63"/>
    <w:rsid w:val="1DA653E3"/>
    <w:rsid w:val="1DD0420E"/>
    <w:rsid w:val="1DD50227"/>
    <w:rsid w:val="1DDB32DF"/>
    <w:rsid w:val="1DDB508D"/>
    <w:rsid w:val="1DDC2BB3"/>
    <w:rsid w:val="1DE32047"/>
    <w:rsid w:val="1DF83E91"/>
    <w:rsid w:val="1E026ABD"/>
    <w:rsid w:val="1E104084"/>
    <w:rsid w:val="1E162569"/>
    <w:rsid w:val="1E1862E1"/>
    <w:rsid w:val="1E332864"/>
    <w:rsid w:val="1E3B3D7D"/>
    <w:rsid w:val="1E432C32"/>
    <w:rsid w:val="1E4C5F8A"/>
    <w:rsid w:val="1E674B72"/>
    <w:rsid w:val="1E745A8C"/>
    <w:rsid w:val="1E786D7F"/>
    <w:rsid w:val="1E890F8D"/>
    <w:rsid w:val="1E8A0861"/>
    <w:rsid w:val="1E960FB4"/>
    <w:rsid w:val="1E9700EC"/>
    <w:rsid w:val="1ECE074D"/>
    <w:rsid w:val="1ED02718"/>
    <w:rsid w:val="1EDA3596"/>
    <w:rsid w:val="1EF33ABA"/>
    <w:rsid w:val="1EFD1033"/>
    <w:rsid w:val="1EFD7285"/>
    <w:rsid w:val="1F282554"/>
    <w:rsid w:val="1F3D58D3"/>
    <w:rsid w:val="1F5D7D23"/>
    <w:rsid w:val="1F696C1D"/>
    <w:rsid w:val="1F6E6BD1"/>
    <w:rsid w:val="1F7B7D85"/>
    <w:rsid w:val="1F7F59A9"/>
    <w:rsid w:val="1F824F60"/>
    <w:rsid w:val="1F8B4890"/>
    <w:rsid w:val="1FA9374C"/>
    <w:rsid w:val="1FBE07C2"/>
    <w:rsid w:val="1FC77B75"/>
    <w:rsid w:val="1FF24910"/>
    <w:rsid w:val="1FF93EF0"/>
    <w:rsid w:val="20011119"/>
    <w:rsid w:val="200603BB"/>
    <w:rsid w:val="200C59D1"/>
    <w:rsid w:val="200F794B"/>
    <w:rsid w:val="20223997"/>
    <w:rsid w:val="20360CA0"/>
    <w:rsid w:val="20363689"/>
    <w:rsid w:val="20370574"/>
    <w:rsid w:val="203B0065"/>
    <w:rsid w:val="203E7B55"/>
    <w:rsid w:val="20517888"/>
    <w:rsid w:val="20653333"/>
    <w:rsid w:val="206B22C8"/>
    <w:rsid w:val="2079295A"/>
    <w:rsid w:val="20847C5E"/>
    <w:rsid w:val="2095099D"/>
    <w:rsid w:val="209A67D6"/>
    <w:rsid w:val="20A34C73"/>
    <w:rsid w:val="20A420AE"/>
    <w:rsid w:val="20A5502A"/>
    <w:rsid w:val="20B6593D"/>
    <w:rsid w:val="20BD5F40"/>
    <w:rsid w:val="20D8278D"/>
    <w:rsid w:val="20DA787E"/>
    <w:rsid w:val="20DD55C0"/>
    <w:rsid w:val="20F16975"/>
    <w:rsid w:val="20F63F8C"/>
    <w:rsid w:val="21004E0A"/>
    <w:rsid w:val="210F504D"/>
    <w:rsid w:val="21102716"/>
    <w:rsid w:val="2110329F"/>
    <w:rsid w:val="21294361"/>
    <w:rsid w:val="212B00D9"/>
    <w:rsid w:val="213056EF"/>
    <w:rsid w:val="214E5B76"/>
    <w:rsid w:val="216435EB"/>
    <w:rsid w:val="216929AF"/>
    <w:rsid w:val="216B2BCB"/>
    <w:rsid w:val="218B6DCA"/>
    <w:rsid w:val="21AE2AB8"/>
    <w:rsid w:val="21B03B93"/>
    <w:rsid w:val="21CD73E2"/>
    <w:rsid w:val="21D267A7"/>
    <w:rsid w:val="21D97B35"/>
    <w:rsid w:val="21E8421C"/>
    <w:rsid w:val="21EB1616"/>
    <w:rsid w:val="21ED1832"/>
    <w:rsid w:val="22056B7C"/>
    <w:rsid w:val="220A5F40"/>
    <w:rsid w:val="2217240B"/>
    <w:rsid w:val="22342FBD"/>
    <w:rsid w:val="22364F87"/>
    <w:rsid w:val="225812B3"/>
    <w:rsid w:val="225E0A1A"/>
    <w:rsid w:val="227067E0"/>
    <w:rsid w:val="227B6E3E"/>
    <w:rsid w:val="229916EE"/>
    <w:rsid w:val="22AF4D3A"/>
    <w:rsid w:val="22BD7457"/>
    <w:rsid w:val="22C32593"/>
    <w:rsid w:val="22D078AB"/>
    <w:rsid w:val="22E17296"/>
    <w:rsid w:val="22E73BCC"/>
    <w:rsid w:val="22E95C6E"/>
    <w:rsid w:val="22F12E2C"/>
    <w:rsid w:val="22F17100"/>
    <w:rsid w:val="234611FA"/>
    <w:rsid w:val="23696C97"/>
    <w:rsid w:val="239006C7"/>
    <w:rsid w:val="23923F53"/>
    <w:rsid w:val="23A40B8C"/>
    <w:rsid w:val="23A4392B"/>
    <w:rsid w:val="23A91789"/>
    <w:rsid w:val="23B87C1E"/>
    <w:rsid w:val="23CB7951"/>
    <w:rsid w:val="23D022EB"/>
    <w:rsid w:val="24030E99"/>
    <w:rsid w:val="24084702"/>
    <w:rsid w:val="240D7F6A"/>
    <w:rsid w:val="241C3010"/>
    <w:rsid w:val="242332EA"/>
    <w:rsid w:val="243F3E9B"/>
    <w:rsid w:val="244B2840"/>
    <w:rsid w:val="244E034B"/>
    <w:rsid w:val="247E6772"/>
    <w:rsid w:val="24836794"/>
    <w:rsid w:val="248B294E"/>
    <w:rsid w:val="249B37C8"/>
    <w:rsid w:val="249B5576"/>
    <w:rsid w:val="249C309C"/>
    <w:rsid w:val="24A65CC9"/>
    <w:rsid w:val="24AA3A0B"/>
    <w:rsid w:val="24B71C84"/>
    <w:rsid w:val="24BF1AC6"/>
    <w:rsid w:val="24C02F88"/>
    <w:rsid w:val="24C0322E"/>
    <w:rsid w:val="24C8677C"/>
    <w:rsid w:val="24D02B50"/>
    <w:rsid w:val="24DB0068"/>
    <w:rsid w:val="24DF2F98"/>
    <w:rsid w:val="24E0567E"/>
    <w:rsid w:val="2504136D"/>
    <w:rsid w:val="25170181"/>
    <w:rsid w:val="251F61A7"/>
    <w:rsid w:val="25222631"/>
    <w:rsid w:val="25237319"/>
    <w:rsid w:val="252437BD"/>
    <w:rsid w:val="252A164C"/>
    <w:rsid w:val="252E0198"/>
    <w:rsid w:val="253D487F"/>
    <w:rsid w:val="25540007"/>
    <w:rsid w:val="25787665"/>
    <w:rsid w:val="25AB08C2"/>
    <w:rsid w:val="25B8688A"/>
    <w:rsid w:val="25C55B68"/>
    <w:rsid w:val="25C805EC"/>
    <w:rsid w:val="25C972F1"/>
    <w:rsid w:val="25D07F37"/>
    <w:rsid w:val="25E60A73"/>
    <w:rsid w:val="25EB35DB"/>
    <w:rsid w:val="26025367"/>
    <w:rsid w:val="26040EF9"/>
    <w:rsid w:val="260B392E"/>
    <w:rsid w:val="26317C3C"/>
    <w:rsid w:val="26487037"/>
    <w:rsid w:val="26526108"/>
    <w:rsid w:val="26597496"/>
    <w:rsid w:val="266F0A68"/>
    <w:rsid w:val="26751DF6"/>
    <w:rsid w:val="267F387D"/>
    <w:rsid w:val="26887D7C"/>
    <w:rsid w:val="268F4C66"/>
    <w:rsid w:val="26B741BD"/>
    <w:rsid w:val="26C07516"/>
    <w:rsid w:val="26CB02AF"/>
    <w:rsid w:val="26EF3957"/>
    <w:rsid w:val="271611EA"/>
    <w:rsid w:val="272A2BE1"/>
    <w:rsid w:val="27392E24"/>
    <w:rsid w:val="27457A1B"/>
    <w:rsid w:val="2758774E"/>
    <w:rsid w:val="2762237B"/>
    <w:rsid w:val="276C74A0"/>
    <w:rsid w:val="27770823"/>
    <w:rsid w:val="277D71B5"/>
    <w:rsid w:val="277F2F2D"/>
    <w:rsid w:val="278A48B5"/>
    <w:rsid w:val="27983FEE"/>
    <w:rsid w:val="27A209C9"/>
    <w:rsid w:val="27A97FAA"/>
    <w:rsid w:val="27D50D9F"/>
    <w:rsid w:val="27D87505"/>
    <w:rsid w:val="27F31225"/>
    <w:rsid w:val="27F37477"/>
    <w:rsid w:val="27F8683B"/>
    <w:rsid w:val="27FB0808"/>
    <w:rsid w:val="2802590C"/>
    <w:rsid w:val="282870EB"/>
    <w:rsid w:val="283006CB"/>
    <w:rsid w:val="28333E0A"/>
    <w:rsid w:val="283A133C"/>
    <w:rsid w:val="283E4C16"/>
    <w:rsid w:val="285443B9"/>
    <w:rsid w:val="285F68BA"/>
    <w:rsid w:val="2865480C"/>
    <w:rsid w:val="286B525F"/>
    <w:rsid w:val="28722A91"/>
    <w:rsid w:val="28844573"/>
    <w:rsid w:val="2888688B"/>
    <w:rsid w:val="28B22E8E"/>
    <w:rsid w:val="28B71196"/>
    <w:rsid w:val="28CA642A"/>
    <w:rsid w:val="28D0473D"/>
    <w:rsid w:val="28D41056"/>
    <w:rsid w:val="28E82D54"/>
    <w:rsid w:val="292875F4"/>
    <w:rsid w:val="292A336C"/>
    <w:rsid w:val="2937276D"/>
    <w:rsid w:val="293B10D5"/>
    <w:rsid w:val="293D4E4D"/>
    <w:rsid w:val="294361DC"/>
    <w:rsid w:val="294654C0"/>
    <w:rsid w:val="297F5466"/>
    <w:rsid w:val="29A14289"/>
    <w:rsid w:val="29AF138D"/>
    <w:rsid w:val="29F37C02"/>
    <w:rsid w:val="29F437F5"/>
    <w:rsid w:val="2A10780C"/>
    <w:rsid w:val="2A171D83"/>
    <w:rsid w:val="2A284FFA"/>
    <w:rsid w:val="2A6C5EF1"/>
    <w:rsid w:val="2A930A9D"/>
    <w:rsid w:val="2A954815"/>
    <w:rsid w:val="2AA16D68"/>
    <w:rsid w:val="2AB078A1"/>
    <w:rsid w:val="2ABC5AC5"/>
    <w:rsid w:val="2ADE440E"/>
    <w:rsid w:val="2AE804EA"/>
    <w:rsid w:val="2AFB28C8"/>
    <w:rsid w:val="2B1256CB"/>
    <w:rsid w:val="2B220EC5"/>
    <w:rsid w:val="2B4750B3"/>
    <w:rsid w:val="2B4F0E68"/>
    <w:rsid w:val="2B5E554F"/>
    <w:rsid w:val="2B807273"/>
    <w:rsid w:val="2B9E594C"/>
    <w:rsid w:val="2BAB4421"/>
    <w:rsid w:val="2BAF1907"/>
    <w:rsid w:val="2BB62C95"/>
    <w:rsid w:val="2BC5737C"/>
    <w:rsid w:val="2BE772F2"/>
    <w:rsid w:val="2BE94B33"/>
    <w:rsid w:val="2BF3422E"/>
    <w:rsid w:val="2C3A5255"/>
    <w:rsid w:val="2C583D4C"/>
    <w:rsid w:val="2C6426F1"/>
    <w:rsid w:val="2C70553A"/>
    <w:rsid w:val="2C73502A"/>
    <w:rsid w:val="2C790F73"/>
    <w:rsid w:val="2C9111D4"/>
    <w:rsid w:val="2CA04F0D"/>
    <w:rsid w:val="2CC413E2"/>
    <w:rsid w:val="2CD258AD"/>
    <w:rsid w:val="2CE11CF9"/>
    <w:rsid w:val="2CE51A84"/>
    <w:rsid w:val="2CE657FC"/>
    <w:rsid w:val="2CED3F11"/>
    <w:rsid w:val="2CF00429"/>
    <w:rsid w:val="2CF9552F"/>
    <w:rsid w:val="2CFC47BC"/>
    <w:rsid w:val="2D116EF9"/>
    <w:rsid w:val="2D1A1C2F"/>
    <w:rsid w:val="2D257D21"/>
    <w:rsid w:val="2D2A393B"/>
    <w:rsid w:val="2D2A56E9"/>
    <w:rsid w:val="2D360531"/>
    <w:rsid w:val="2D7D7F0E"/>
    <w:rsid w:val="2D843E66"/>
    <w:rsid w:val="2D8D5C78"/>
    <w:rsid w:val="2D917516"/>
    <w:rsid w:val="2D964B2C"/>
    <w:rsid w:val="2DA84860"/>
    <w:rsid w:val="2DCC054E"/>
    <w:rsid w:val="2DE50330"/>
    <w:rsid w:val="2DF301D1"/>
    <w:rsid w:val="2DF45CF7"/>
    <w:rsid w:val="2DF66D0E"/>
    <w:rsid w:val="2DF87595"/>
    <w:rsid w:val="2E110657"/>
    <w:rsid w:val="2E150147"/>
    <w:rsid w:val="2E192F88"/>
    <w:rsid w:val="2E1A1B41"/>
    <w:rsid w:val="2E224612"/>
    <w:rsid w:val="2E2746F2"/>
    <w:rsid w:val="2E2D6FFE"/>
    <w:rsid w:val="2E30169A"/>
    <w:rsid w:val="2E383E35"/>
    <w:rsid w:val="2E615CDF"/>
    <w:rsid w:val="2E6D30D1"/>
    <w:rsid w:val="2E7F1A64"/>
    <w:rsid w:val="2E7F7CB6"/>
    <w:rsid w:val="2E91155B"/>
    <w:rsid w:val="2EA12AEE"/>
    <w:rsid w:val="2EA43223"/>
    <w:rsid w:val="2EBA484A"/>
    <w:rsid w:val="2ECE0A3B"/>
    <w:rsid w:val="2ED26038"/>
    <w:rsid w:val="2EDF4746"/>
    <w:rsid w:val="2EE64E0C"/>
    <w:rsid w:val="2EE87609"/>
    <w:rsid w:val="2EED06C7"/>
    <w:rsid w:val="2EF57F78"/>
    <w:rsid w:val="2F0106CB"/>
    <w:rsid w:val="2F0F2DE8"/>
    <w:rsid w:val="2F126434"/>
    <w:rsid w:val="2F2443BA"/>
    <w:rsid w:val="2F3740ED"/>
    <w:rsid w:val="2F3E36CD"/>
    <w:rsid w:val="2F550CE3"/>
    <w:rsid w:val="2F5A70C5"/>
    <w:rsid w:val="2F780753"/>
    <w:rsid w:val="2F797A5E"/>
    <w:rsid w:val="2F8A6913"/>
    <w:rsid w:val="2F8B61E7"/>
    <w:rsid w:val="2F972DDE"/>
    <w:rsid w:val="2F9D0A7D"/>
    <w:rsid w:val="2F9E23BE"/>
    <w:rsid w:val="2FA31782"/>
    <w:rsid w:val="2FA75D92"/>
    <w:rsid w:val="2FB13E9F"/>
    <w:rsid w:val="2FB15C4D"/>
    <w:rsid w:val="2FBE53A2"/>
    <w:rsid w:val="2FC260AC"/>
    <w:rsid w:val="2FD1009E"/>
    <w:rsid w:val="2FD63906"/>
    <w:rsid w:val="2FD91648"/>
    <w:rsid w:val="2FF803C0"/>
    <w:rsid w:val="2FF86323"/>
    <w:rsid w:val="2FFB336C"/>
    <w:rsid w:val="30071D11"/>
    <w:rsid w:val="300B06FF"/>
    <w:rsid w:val="30297EDA"/>
    <w:rsid w:val="302A0674"/>
    <w:rsid w:val="30327943"/>
    <w:rsid w:val="305B02AF"/>
    <w:rsid w:val="306F78B6"/>
    <w:rsid w:val="307B44AD"/>
    <w:rsid w:val="308570DA"/>
    <w:rsid w:val="30907447"/>
    <w:rsid w:val="309B5472"/>
    <w:rsid w:val="309D2676"/>
    <w:rsid w:val="30A532D8"/>
    <w:rsid w:val="30AF7E29"/>
    <w:rsid w:val="30BF25EC"/>
    <w:rsid w:val="30D77936"/>
    <w:rsid w:val="30E97669"/>
    <w:rsid w:val="310426F5"/>
    <w:rsid w:val="31101099"/>
    <w:rsid w:val="311C359A"/>
    <w:rsid w:val="31374878"/>
    <w:rsid w:val="313A586F"/>
    <w:rsid w:val="31480833"/>
    <w:rsid w:val="314F5E2C"/>
    <w:rsid w:val="3159659D"/>
    <w:rsid w:val="31647841"/>
    <w:rsid w:val="317F180E"/>
    <w:rsid w:val="319121DA"/>
    <w:rsid w:val="319677F1"/>
    <w:rsid w:val="31A766BB"/>
    <w:rsid w:val="31AF2660"/>
    <w:rsid w:val="31B23EFF"/>
    <w:rsid w:val="31B639EF"/>
    <w:rsid w:val="31D1692F"/>
    <w:rsid w:val="31D420C7"/>
    <w:rsid w:val="31D43E75"/>
    <w:rsid w:val="31E45DFB"/>
    <w:rsid w:val="31F2079F"/>
    <w:rsid w:val="31FC33CC"/>
    <w:rsid w:val="32222E32"/>
    <w:rsid w:val="322344D1"/>
    <w:rsid w:val="324F1719"/>
    <w:rsid w:val="32625925"/>
    <w:rsid w:val="32C043F9"/>
    <w:rsid w:val="32DA4023"/>
    <w:rsid w:val="32F347CF"/>
    <w:rsid w:val="32FF5D3B"/>
    <w:rsid w:val="33122EA7"/>
    <w:rsid w:val="33484B1B"/>
    <w:rsid w:val="334C3A38"/>
    <w:rsid w:val="3350577D"/>
    <w:rsid w:val="335F00B6"/>
    <w:rsid w:val="3361798A"/>
    <w:rsid w:val="339C6C14"/>
    <w:rsid w:val="33A252C3"/>
    <w:rsid w:val="33C37CFF"/>
    <w:rsid w:val="33E65B1A"/>
    <w:rsid w:val="33E67E90"/>
    <w:rsid w:val="340071A3"/>
    <w:rsid w:val="340B78F6"/>
    <w:rsid w:val="341217EA"/>
    <w:rsid w:val="3417118D"/>
    <w:rsid w:val="341E7629"/>
    <w:rsid w:val="34321197"/>
    <w:rsid w:val="34605E94"/>
    <w:rsid w:val="347F60F0"/>
    <w:rsid w:val="34871673"/>
    <w:rsid w:val="348778C5"/>
    <w:rsid w:val="34A1189C"/>
    <w:rsid w:val="34A90091"/>
    <w:rsid w:val="34AA7AFA"/>
    <w:rsid w:val="34B55747"/>
    <w:rsid w:val="34CF6821"/>
    <w:rsid w:val="34D67F04"/>
    <w:rsid w:val="34DD5737"/>
    <w:rsid w:val="34E22D4D"/>
    <w:rsid w:val="351729F7"/>
    <w:rsid w:val="351F18AB"/>
    <w:rsid w:val="35245113"/>
    <w:rsid w:val="352C3FC8"/>
    <w:rsid w:val="35397235"/>
    <w:rsid w:val="353C799D"/>
    <w:rsid w:val="354E3F3E"/>
    <w:rsid w:val="35533315"/>
    <w:rsid w:val="35643762"/>
    <w:rsid w:val="35747E49"/>
    <w:rsid w:val="3579545F"/>
    <w:rsid w:val="3589656C"/>
    <w:rsid w:val="35A85D44"/>
    <w:rsid w:val="35BE2E72"/>
    <w:rsid w:val="35D703D8"/>
    <w:rsid w:val="35DD2763"/>
    <w:rsid w:val="35E651E4"/>
    <w:rsid w:val="35FA7C22"/>
    <w:rsid w:val="36064819"/>
    <w:rsid w:val="360B0081"/>
    <w:rsid w:val="360F7B72"/>
    <w:rsid w:val="36121410"/>
    <w:rsid w:val="36146F36"/>
    <w:rsid w:val="36260A17"/>
    <w:rsid w:val="365C268B"/>
    <w:rsid w:val="365E4655"/>
    <w:rsid w:val="36653B81"/>
    <w:rsid w:val="36724CB7"/>
    <w:rsid w:val="3679148F"/>
    <w:rsid w:val="369938DF"/>
    <w:rsid w:val="36C92741"/>
    <w:rsid w:val="36CD6D52"/>
    <w:rsid w:val="36FF3742"/>
    <w:rsid w:val="37023232"/>
    <w:rsid w:val="372B09DB"/>
    <w:rsid w:val="37393D6D"/>
    <w:rsid w:val="373B4692"/>
    <w:rsid w:val="373B6A29"/>
    <w:rsid w:val="374E46CA"/>
    <w:rsid w:val="37627985"/>
    <w:rsid w:val="37677539"/>
    <w:rsid w:val="376B0DD8"/>
    <w:rsid w:val="376D275B"/>
    <w:rsid w:val="37826121"/>
    <w:rsid w:val="37863E63"/>
    <w:rsid w:val="37867A7E"/>
    <w:rsid w:val="37891BEA"/>
    <w:rsid w:val="37893954"/>
    <w:rsid w:val="378974B0"/>
    <w:rsid w:val="37B26A07"/>
    <w:rsid w:val="37C25520"/>
    <w:rsid w:val="37D918D2"/>
    <w:rsid w:val="37DC62F0"/>
    <w:rsid w:val="37DF70BA"/>
    <w:rsid w:val="37F54B45"/>
    <w:rsid w:val="37F708BD"/>
    <w:rsid w:val="380134EA"/>
    <w:rsid w:val="38051E01"/>
    <w:rsid w:val="381551E7"/>
    <w:rsid w:val="38172D0E"/>
    <w:rsid w:val="38190834"/>
    <w:rsid w:val="38250630"/>
    <w:rsid w:val="38486DD2"/>
    <w:rsid w:val="38625A5D"/>
    <w:rsid w:val="3866277E"/>
    <w:rsid w:val="387C0DC3"/>
    <w:rsid w:val="388D1222"/>
    <w:rsid w:val="38A65E3F"/>
    <w:rsid w:val="38AE308F"/>
    <w:rsid w:val="38B16E3F"/>
    <w:rsid w:val="38C22C79"/>
    <w:rsid w:val="38CA4224"/>
    <w:rsid w:val="38CA5FD2"/>
    <w:rsid w:val="38E47094"/>
    <w:rsid w:val="38FE1364"/>
    <w:rsid w:val="38FE7A29"/>
    <w:rsid w:val="3902576C"/>
    <w:rsid w:val="390B0716"/>
    <w:rsid w:val="390E5EBF"/>
    <w:rsid w:val="39186D3D"/>
    <w:rsid w:val="392B4CC2"/>
    <w:rsid w:val="39300DEC"/>
    <w:rsid w:val="3983432B"/>
    <w:rsid w:val="398E55A6"/>
    <w:rsid w:val="39A131D7"/>
    <w:rsid w:val="39AE1450"/>
    <w:rsid w:val="39D63BFA"/>
    <w:rsid w:val="39DC7DB5"/>
    <w:rsid w:val="39E92488"/>
    <w:rsid w:val="39ED01CA"/>
    <w:rsid w:val="39F50E2C"/>
    <w:rsid w:val="39F540DE"/>
    <w:rsid w:val="3A013C75"/>
    <w:rsid w:val="3A0E1EEE"/>
    <w:rsid w:val="3A110ED5"/>
    <w:rsid w:val="3A1219DE"/>
    <w:rsid w:val="3A1448B7"/>
    <w:rsid w:val="3A323F34"/>
    <w:rsid w:val="3A3C4CAD"/>
    <w:rsid w:val="3A40479E"/>
    <w:rsid w:val="3A541FF7"/>
    <w:rsid w:val="3A577C79"/>
    <w:rsid w:val="3A6258BF"/>
    <w:rsid w:val="3A7B57D6"/>
    <w:rsid w:val="3A881FA5"/>
    <w:rsid w:val="3A927841"/>
    <w:rsid w:val="3AA06FEA"/>
    <w:rsid w:val="3AA27206"/>
    <w:rsid w:val="3AAD3380"/>
    <w:rsid w:val="3AB05642"/>
    <w:rsid w:val="3AB331C1"/>
    <w:rsid w:val="3ABC6E35"/>
    <w:rsid w:val="3AD36529"/>
    <w:rsid w:val="3AD82669"/>
    <w:rsid w:val="3AE8273F"/>
    <w:rsid w:val="3AED5FA8"/>
    <w:rsid w:val="3B0021FC"/>
    <w:rsid w:val="3B512C13"/>
    <w:rsid w:val="3B5B534D"/>
    <w:rsid w:val="3B656D66"/>
    <w:rsid w:val="3B742225"/>
    <w:rsid w:val="3B761C52"/>
    <w:rsid w:val="3B7E1CF7"/>
    <w:rsid w:val="3B903C31"/>
    <w:rsid w:val="3B914B85"/>
    <w:rsid w:val="3BCA4F4A"/>
    <w:rsid w:val="3BD01B51"/>
    <w:rsid w:val="3BF24E67"/>
    <w:rsid w:val="3C017196"/>
    <w:rsid w:val="3C0815AA"/>
    <w:rsid w:val="3C0F2EDB"/>
    <w:rsid w:val="3C3E4D0D"/>
    <w:rsid w:val="3C452FA2"/>
    <w:rsid w:val="3C4D31A2"/>
    <w:rsid w:val="3C5938F5"/>
    <w:rsid w:val="3C687118"/>
    <w:rsid w:val="3C6C7353"/>
    <w:rsid w:val="3CB33849"/>
    <w:rsid w:val="3CC97D73"/>
    <w:rsid w:val="3CD70CBD"/>
    <w:rsid w:val="3CDE204C"/>
    <w:rsid w:val="3CE31410"/>
    <w:rsid w:val="3CE8111C"/>
    <w:rsid w:val="3D18555E"/>
    <w:rsid w:val="3D1E4B3E"/>
    <w:rsid w:val="3D211F38"/>
    <w:rsid w:val="3D2F4655"/>
    <w:rsid w:val="3D417200"/>
    <w:rsid w:val="3D6E1622"/>
    <w:rsid w:val="3D901369"/>
    <w:rsid w:val="3D997A67"/>
    <w:rsid w:val="3DB4362A"/>
    <w:rsid w:val="3DE93CDD"/>
    <w:rsid w:val="3DF86485"/>
    <w:rsid w:val="3E047890"/>
    <w:rsid w:val="3E0B6E71"/>
    <w:rsid w:val="3E1D0EF9"/>
    <w:rsid w:val="3E1E6A1B"/>
    <w:rsid w:val="3E23065E"/>
    <w:rsid w:val="3E2D4BC4"/>
    <w:rsid w:val="3E330175"/>
    <w:rsid w:val="3E4405D4"/>
    <w:rsid w:val="3E467EA9"/>
    <w:rsid w:val="3E5F71BC"/>
    <w:rsid w:val="3E6D18D9"/>
    <w:rsid w:val="3E726EF0"/>
    <w:rsid w:val="3E7363BC"/>
    <w:rsid w:val="3E7964D0"/>
    <w:rsid w:val="3E7A2AE3"/>
    <w:rsid w:val="3E8135D7"/>
    <w:rsid w:val="3E9E1A93"/>
    <w:rsid w:val="3EBE0387"/>
    <w:rsid w:val="3EBE2135"/>
    <w:rsid w:val="3EC139D3"/>
    <w:rsid w:val="3ECF1BDC"/>
    <w:rsid w:val="3EDC6A5F"/>
    <w:rsid w:val="3F0042F9"/>
    <w:rsid w:val="3F147FA7"/>
    <w:rsid w:val="3F2226C4"/>
    <w:rsid w:val="3F275F2C"/>
    <w:rsid w:val="3F2A1578"/>
    <w:rsid w:val="3F4168C2"/>
    <w:rsid w:val="3F4C218E"/>
    <w:rsid w:val="3F7C7383"/>
    <w:rsid w:val="3F9203C3"/>
    <w:rsid w:val="3FA6268D"/>
    <w:rsid w:val="3FA94B93"/>
    <w:rsid w:val="3FAB647D"/>
    <w:rsid w:val="3FBD23EC"/>
    <w:rsid w:val="3FCC6AD3"/>
    <w:rsid w:val="3FD140EA"/>
    <w:rsid w:val="3FD55988"/>
    <w:rsid w:val="3FE536F1"/>
    <w:rsid w:val="3FF2602A"/>
    <w:rsid w:val="3FF43934"/>
    <w:rsid w:val="4004626D"/>
    <w:rsid w:val="403A09BD"/>
    <w:rsid w:val="403C0DC0"/>
    <w:rsid w:val="403F1053"/>
    <w:rsid w:val="40447BE5"/>
    <w:rsid w:val="404623E2"/>
    <w:rsid w:val="405405AD"/>
    <w:rsid w:val="40866C82"/>
    <w:rsid w:val="409B6C50"/>
    <w:rsid w:val="40B40A02"/>
    <w:rsid w:val="40DC4AF4"/>
    <w:rsid w:val="40E83499"/>
    <w:rsid w:val="40EF0187"/>
    <w:rsid w:val="411425DC"/>
    <w:rsid w:val="411918A4"/>
    <w:rsid w:val="411E6EBB"/>
    <w:rsid w:val="412336A6"/>
    <w:rsid w:val="41265D6F"/>
    <w:rsid w:val="412F731A"/>
    <w:rsid w:val="41473131"/>
    <w:rsid w:val="416622EA"/>
    <w:rsid w:val="4168282C"/>
    <w:rsid w:val="416D4E4C"/>
    <w:rsid w:val="4174796C"/>
    <w:rsid w:val="417B5357"/>
    <w:rsid w:val="418530D3"/>
    <w:rsid w:val="419D3F2B"/>
    <w:rsid w:val="41AF3FB7"/>
    <w:rsid w:val="41BE244C"/>
    <w:rsid w:val="41DD7693"/>
    <w:rsid w:val="41EA3241"/>
    <w:rsid w:val="421B164C"/>
    <w:rsid w:val="422936B2"/>
    <w:rsid w:val="422C394C"/>
    <w:rsid w:val="422F08A0"/>
    <w:rsid w:val="42424E2B"/>
    <w:rsid w:val="42444D85"/>
    <w:rsid w:val="42755200"/>
    <w:rsid w:val="427F1BDB"/>
    <w:rsid w:val="428E62C2"/>
    <w:rsid w:val="42BA2C13"/>
    <w:rsid w:val="42BC2E2F"/>
    <w:rsid w:val="42BF46CD"/>
    <w:rsid w:val="42E12896"/>
    <w:rsid w:val="42EB54C2"/>
    <w:rsid w:val="42F76080"/>
    <w:rsid w:val="42FA74B4"/>
    <w:rsid w:val="42FC2DB6"/>
    <w:rsid w:val="42FE6FA4"/>
    <w:rsid w:val="433504EC"/>
    <w:rsid w:val="434F15AD"/>
    <w:rsid w:val="435274EC"/>
    <w:rsid w:val="43572B58"/>
    <w:rsid w:val="435D5DE9"/>
    <w:rsid w:val="43770B04"/>
    <w:rsid w:val="438D012A"/>
    <w:rsid w:val="43B71FC6"/>
    <w:rsid w:val="43BB6C43"/>
    <w:rsid w:val="43CF26EE"/>
    <w:rsid w:val="43FD53EB"/>
    <w:rsid w:val="44095C00"/>
    <w:rsid w:val="4420119C"/>
    <w:rsid w:val="44223166"/>
    <w:rsid w:val="442347E8"/>
    <w:rsid w:val="444430DC"/>
    <w:rsid w:val="44531571"/>
    <w:rsid w:val="44561F95"/>
    <w:rsid w:val="4479374D"/>
    <w:rsid w:val="44953938"/>
    <w:rsid w:val="44C45FCB"/>
    <w:rsid w:val="44D646C1"/>
    <w:rsid w:val="44D746F9"/>
    <w:rsid w:val="44DA134B"/>
    <w:rsid w:val="44E229FA"/>
    <w:rsid w:val="44EE3048"/>
    <w:rsid w:val="44F00B6E"/>
    <w:rsid w:val="45060392"/>
    <w:rsid w:val="45102FBE"/>
    <w:rsid w:val="452D1DC2"/>
    <w:rsid w:val="453A1EF0"/>
    <w:rsid w:val="454D44FF"/>
    <w:rsid w:val="454E0A4E"/>
    <w:rsid w:val="45517260"/>
    <w:rsid w:val="45596713"/>
    <w:rsid w:val="458D0AB3"/>
    <w:rsid w:val="459D6604"/>
    <w:rsid w:val="45A73923"/>
    <w:rsid w:val="45A831F7"/>
    <w:rsid w:val="45BA2812"/>
    <w:rsid w:val="45CB1F1D"/>
    <w:rsid w:val="45DA0487"/>
    <w:rsid w:val="45E36925"/>
    <w:rsid w:val="45E5559A"/>
    <w:rsid w:val="45EE175F"/>
    <w:rsid w:val="460B7B64"/>
    <w:rsid w:val="460F3276"/>
    <w:rsid w:val="4631143E"/>
    <w:rsid w:val="463902F3"/>
    <w:rsid w:val="4642189D"/>
    <w:rsid w:val="464A2500"/>
    <w:rsid w:val="4665558C"/>
    <w:rsid w:val="466E4440"/>
    <w:rsid w:val="467B6B5D"/>
    <w:rsid w:val="467C4DA6"/>
    <w:rsid w:val="46935C55"/>
    <w:rsid w:val="469519CD"/>
    <w:rsid w:val="469E0050"/>
    <w:rsid w:val="46A75297"/>
    <w:rsid w:val="46C2653A"/>
    <w:rsid w:val="46C67DD9"/>
    <w:rsid w:val="46C87FF5"/>
    <w:rsid w:val="46CC1167"/>
    <w:rsid w:val="46DD1482"/>
    <w:rsid w:val="46DF0A03"/>
    <w:rsid w:val="46EB30F9"/>
    <w:rsid w:val="46ED7A5B"/>
    <w:rsid w:val="46F30DEA"/>
    <w:rsid w:val="46F74436"/>
    <w:rsid w:val="46F94F75"/>
    <w:rsid w:val="4702556E"/>
    <w:rsid w:val="47040901"/>
    <w:rsid w:val="473C7E24"/>
    <w:rsid w:val="4751683D"/>
    <w:rsid w:val="47655843"/>
    <w:rsid w:val="47841A42"/>
    <w:rsid w:val="479223B1"/>
    <w:rsid w:val="47941C85"/>
    <w:rsid w:val="479E6FA7"/>
    <w:rsid w:val="47AB5220"/>
    <w:rsid w:val="47AD071F"/>
    <w:rsid w:val="47C167F2"/>
    <w:rsid w:val="47DC529C"/>
    <w:rsid w:val="47E250E6"/>
    <w:rsid w:val="47E30E5E"/>
    <w:rsid w:val="47E66FB3"/>
    <w:rsid w:val="47EB0D8B"/>
    <w:rsid w:val="47EC7D13"/>
    <w:rsid w:val="480F30DC"/>
    <w:rsid w:val="48221986"/>
    <w:rsid w:val="484C346A"/>
    <w:rsid w:val="485350A5"/>
    <w:rsid w:val="488D260A"/>
    <w:rsid w:val="488F24E5"/>
    <w:rsid w:val="48981C49"/>
    <w:rsid w:val="48BA1BBF"/>
    <w:rsid w:val="48C20A74"/>
    <w:rsid w:val="48D8709C"/>
    <w:rsid w:val="48FA020D"/>
    <w:rsid w:val="490177EE"/>
    <w:rsid w:val="492434DC"/>
    <w:rsid w:val="4929464F"/>
    <w:rsid w:val="493556E9"/>
    <w:rsid w:val="493A4AAE"/>
    <w:rsid w:val="49470F79"/>
    <w:rsid w:val="494D04C3"/>
    <w:rsid w:val="498126DD"/>
    <w:rsid w:val="498D72D3"/>
    <w:rsid w:val="49940662"/>
    <w:rsid w:val="49A60395"/>
    <w:rsid w:val="49AD5280"/>
    <w:rsid w:val="49B303BC"/>
    <w:rsid w:val="49BB2B14"/>
    <w:rsid w:val="49D2118A"/>
    <w:rsid w:val="49D24CE6"/>
    <w:rsid w:val="49E05655"/>
    <w:rsid w:val="49E54A1A"/>
    <w:rsid w:val="49EA64D4"/>
    <w:rsid w:val="49EC224C"/>
    <w:rsid w:val="4A0155CC"/>
    <w:rsid w:val="4A084BAC"/>
    <w:rsid w:val="4A0B3AD6"/>
    <w:rsid w:val="4A0C3FEF"/>
    <w:rsid w:val="4A12247B"/>
    <w:rsid w:val="4A3239D7"/>
    <w:rsid w:val="4A3A3DFD"/>
    <w:rsid w:val="4A4A2ACF"/>
    <w:rsid w:val="4A4E4D31"/>
    <w:rsid w:val="4A532DDB"/>
    <w:rsid w:val="4A5676C5"/>
    <w:rsid w:val="4A6F0787"/>
    <w:rsid w:val="4A8B21F5"/>
    <w:rsid w:val="4ADD3943"/>
    <w:rsid w:val="4AE1566C"/>
    <w:rsid w:val="4AE42F23"/>
    <w:rsid w:val="4AFD15AA"/>
    <w:rsid w:val="4B011AFE"/>
    <w:rsid w:val="4B074E64"/>
    <w:rsid w:val="4B090BDC"/>
    <w:rsid w:val="4B1355B6"/>
    <w:rsid w:val="4B1B29BE"/>
    <w:rsid w:val="4B217CD3"/>
    <w:rsid w:val="4B3043BA"/>
    <w:rsid w:val="4B356647"/>
    <w:rsid w:val="4B3B1A6B"/>
    <w:rsid w:val="4B3B68BB"/>
    <w:rsid w:val="4B477F40"/>
    <w:rsid w:val="4B62209A"/>
    <w:rsid w:val="4B6422B6"/>
    <w:rsid w:val="4B6776B0"/>
    <w:rsid w:val="4B6D116B"/>
    <w:rsid w:val="4B9009B5"/>
    <w:rsid w:val="4B966372"/>
    <w:rsid w:val="4BA32DDE"/>
    <w:rsid w:val="4BA902A6"/>
    <w:rsid w:val="4BB46D99"/>
    <w:rsid w:val="4BDF36EB"/>
    <w:rsid w:val="4BEB6533"/>
    <w:rsid w:val="4BED22AB"/>
    <w:rsid w:val="4C0D0258"/>
    <w:rsid w:val="4C0D2006"/>
    <w:rsid w:val="4C2F6B1C"/>
    <w:rsid w:val="4C417F01"/>
    <w:rsid w:val="4C4C2A74"/>
    <w:rsid w:val="4C561BFF"/>
    <w:rsid w:val="4C562BA6"/>
    <w:rsid w:val="4C6057BE"/>
    <w:rsid w:val="4C6C31D0"/>
    <w:rsid w:val="4C7402D7"/>
    <w:rsid w:val="4C7A2D7E"/>
    <w:rsid w:val="4C7D53DD"/>
    <w:rsid w:val="4C9543B7"/>
    <w:rsid w:val="4C9D7141"/>
    <w:rsid w:val="4CA961D2"/>
    <w:rsid w:val="4CAC5CC3"/>
    <w:rsid w:val="4CAF57B3"/>
    <w:rsid w:val="4CC14E4D"/>
    <w:rsid w:val="4CC34DBA"/>
    <w:rsid w:val="4CCE0B6D"/>
    <w:rsid w:val="4CD80866"/>
    <w:rsid w:val="4CDD5E7C"/>
    <w:rsid w:val="4CEA0599"/>
    <w:rsid w:val="4CF87845"/>
    <w:rsid w:val="4CFB4554"/>
    <w:rsid w:val="4CFE5DF2"/>
    <w:rsid w:val="4D01600E"/>
    <w:rsid w:val="4D240A6A"/>
    <w:rsid w:val="4D252F43"/>
    <w:rsid w:val="4D29283A"/>
    <w:rsid w:val="4D3D2DBF"/>
    <w:rsid w:val="4D493467"/>
    <w:rsid w:val="4D4E6D7A"/>
    <w:rsid w:val="4D5A74CD"/>
    <w:rsid w:val="4D622825"/>
    <w:rsid w:val="4D662315"/>
    <w:rsid w:val="4D6A368A"/>
    <w:rsid w:val="4D6F0DBB"/>
    <w:rsid w:val="4D7F2DB9"/>
    <w:rsid w:val="4D892DAB"/>
    <w:rsid w:val="4D987FF5"/>
    <w:rsid w:val="4DBD7A5B"/>
    <w:rsid w:val="4DC62DB4"/>
    <w:rsid w:val="4DD51249"/>
    <w:rsid w:val="4DD80FDB"/>
    <w:rsid w:val="4DED387D"/>
    <w:rsid w:val="4DF04EB5"/>
    <w:rsid w:val="4E261AA5"/>
    <w:rsid w:val="4E3A10AC"/>
    <w:rsid w:val="4E412A39"/>
    <w:rsid w:val="4E451F2B"/>
    <w:rsid w:val="4E485577"/>
    <w:rsid w:val="4E591565"/>
    <w:rsid w:val="4E593C28"/>
    <w:rsid w:val="4E5959D6"/>
    <w:rsid w:val="4E5B174E"/>
    <w:rsid w:val="4E7A2FBB"/>
    <w:rsid w:val="4E9B00F9"/>
    <w:rsid w:val="4EB00959"/>
    <w:rsid w:val="4EB1271E"/>
    <w:rsid w:val="4EC866B8"/>
    <w:rsid w:val="4ECC264C"/>
    <w:rsid w:val="4ECF7A46"/>
    <w:rsid w:val="4ED27537"/>
    <w:rsid w:val="4EE2777A"/>
    <w:rsid w:val="4EEF00E8"/>
    <w:rsid w:val="4EFB181F"/>
    <w:rsid w:val="4EFB4FE3"/>
    <w:rsid w:val="4F1E09DB"/>
    <w:rsid w:val="4F204746"/>
    <w:rsid w:val="4F20650C"/>
    <w:rsid w:val="4F262939"/>
    <w:rsid w:val="4F355ADA"/>
    <w:rsid w:val="4F400944"/>
    <w:rsid w:val="4F530677"/>
    <w:rsid w:val="4F5662BA"/>
    <w:rsid w:val="4F587A3C"/>
    <w:rsid w:val="4F610FE6"/>
    <w:rsid w:val="4F91017C"/>
    <w:rsid w:val="4FA73AD4"/>
    <w:rsid w:val="4FAA5B36"/>
    <w:rsid w:val="4FC9093A"/>
    <w:rsid w:val="4FD01CC8"/>
    <w:rsid w:val="4FDF72AF"/>
    <w:rsid w:val="4FEA39C5"/>
    <w:rsid w:val="50137E07"/>
    <w:rsid w:val="50200547"/>
    <w:rsid w:val="502838B2"/>
    <w:rsid w:val="50285825"/>
    <w:rsid w:val="502C4817"/>
    <w:rsid w:val="503009B9"/>
    <w:rsid w:val="50487AB0"/>
    <w:rsid w:val="506A211C"/>
    <w:rsid w:val="5080549C"/>
    <w:rsid w:val="50827466"/>
    <w:rsid w:val="50923421"/>
    <w:rsid w:val="50947866"/>
    <w:rsid w:val="50BB0282"/>
    <w:rsid w:val="50CC06E1"/>
    <w:rsid w:val="50D2312A"/>
    <w:rsid w:val="50D852D8"/>
    <w:rsid w:val="50DE21C3"/>
    <w:rsid w:val="50EA1A42"/>
    <w:rsid w:val="50EF617E"/>
    <w:rsid w:val="510C4F82"/>
    <w:rsid w:val="5119769F"/>
    <w:rsid w:val="51385D77"/>
    <w:rsid w:val="51430B2C"/>
    <w:rsid w:val="514566E6"/>
    <w:rsid w:val="51497F84"/>
    <w:rsid w:val="51501312"/>
    <w:rsid w:val="51584D4E"/>
    <w:rsid w:val="516A7EFA"/>
    <w:rsid w:val="51A76A58"/>
    <w:rsid w:val="51AB6549"/>
    <w:rsid w:val="51DC0DF8"/>
    <w:rsid w:val="51E41A5B"/>
    <w:rsid w:val="521045FE"/>
    <w:rsid w:val="521D6D1B"/>
    <w:rsid w:val="523A78CD"/>
    <w:rsid w:val="523F4EE3"/>
    <w:rsid w:val="525A7F6F"/>
    <w:rsid w:val="52635075"/>
    <w:rsid w:val="52636E23"/>
    <w:rsid w:val="526D1A50"/>
    <w:rsid w:val="526D6DA4"/>
    <w:rsid w:val="52727066"/>
    <w:rsid w:val="527D3E04"/>
    <w:rsid w:val="528A6DCB"/>
    <w:rsid w:val="529176ED"/>
    <w:rsid w:val="529214B7"/>
    <w:rsid w:val="529405C6"/>
    <w:rsid w:val="52AA6800"/>
    <w:rsid w:val="52B15DE1"/>
    <w:rsid w:val="52C27FEE"/>
    <w:rsid w:val="52E00474"/>
    <w:rsid w:val="52E07DB1"/>
    <w:rsid w:val="52E635B0"/>
    <w:rsid w:val="52EF6909"/>
    <w:rsid w:val="53084200"/>
    <w:rsid w:val="5325232B"/>
    <w:rsid w:val="53283BC9"/>
    <w:rsid w:val="532C36B9"/>
    <w:rsid w:val="533B7DA0"/>
    <w:rsid w:val="535D2A26"/>
    <w:rsid w:val="53697924"/>
    <w:rsid w:val="536B5486"/>
    <w:rsid w:val="53711643"/>
    <w:rsid w:val="537806AC"/>
    <w:rsid w:val="53803A05"/>
    <w:rsid w:val="53BA0CC5"/>
    <w:rsid w:val="53BB6646"/>
    <w:rsid w:val="53CE29C2"/>
    <w:rsid w:val="53DB0C3B"/>
    <w:rsid w:val="53EC33B3"/>
    <w:rsid w:val="53FB6A6C"/>
    <w:rsid w:val="5406215C"/>
    <w:rsid w:val="540B1521"/>
    <w:rsid w:val="541D3002"/>
    <w:rsid w:val="54202A29"/>
    <w:rsid w:val="54212AF2"/>
    <w:rsid w:val="542338B7"/>
    <w:rsid w:val="54336CC9"/>
    <w:rsid w:val="545F361A"/>
    <w:rsid w:val="54684BC5"/>
    <w:rsid w:val="546D21DB"/>
    <w:rsid w:val="546E45BF"/>
    <w:rsid w:val="54737BEC"/>
    <w:rsid w:val="54922116"/>
    <w:rsid w:val="549F0B68"/>
    <w:rsid w:val="54A84FC1"/>
    <w:rsid w:val="54AD7595"/>
    <w:rsid w:val="54CF69F2"/>
    <w:rsid w:val="54D20721"/>
    <w:rsid w:val="54D32C7A"/>
    <w:rsid w:val="54E3424B"/>
    <w:rsid w:val="54E83610"/>
    <w:rsid w:val="55006947"/>
    <w:rsid w:val="55083CB2"/>
    <w:rsid w:val="550B5550"/>
    <w:rsid w:val="550F4C80"/>
    <w:rsid w:val="551B624A"/>
    <w:rsid w:val="552A59D6"/>
    <w:rsid w:val="553D4343"/>
    <w:rsid w:val="55452810"/>
    <w:rsid w:val="555B64D8"/>
    <w:rsid w:val="55717AA9"/>
    <w:rsid w:val="55766E6E"/>
    <w:rsid w:val="557B2A02"/>
    <w:rsid w:val="55867396"/>
    <w:rsid w:val="558A2919"/>
    <w:rsid w:val="559612BE"/>
    <w:rsid w:val="55980A4A"/>
    <w:rsid w:val="559E63BF"/>
    <w:rsid w:val="55B13095"/>
    <w:rsid w:val="55B72AB2"/>
    <w:rsid w:val="55CA0F67"/>
    <w:rsid w:val="55D911AB"/>
    <w:rsid w:val="55E42040"/>
    <w:rsid w:val="55E54935"/>
    <w:rsid w:val="55EF09CE"/>
    <w:rsid w:val="55F77E33"/>
    <w:rsid w:val="55FD758F"/>
    <w:rsid w:val="56102E1E"/>
    <w:rsid w:val="562E14F6"/>
    <w:rsid w:val="56310FE7"/>
    <w:rsid w:val="56356D29"/>
    <w:rsid w:val="563B245F"/>
    <w:rsid w:val="56440D1A"/>
    <w:rsid w:val="56446F6C"/>
    <w:rsid w:val="56462CE4"/>
    <w:rsid w:val="565F3AEE"/>
    <w:rsid w:val="56642AFA"/>
    <w:rsid w:val="567A50E7"/>
    <w:rsid w:val="56824BF3"/>
    <w:rsid w:val="56895567"/>
    <w:rsid w:val="56A5007F"/>
    <w:rsid w:val="56BB5FCD"/>
    <w:rsid w:val="56BE0ACC"/>
    <w:rsid w:val="56C1236A"/>
    <w:rsid w:val="56C34335"/>
    <w:rsid w:val="56C9121F"/>
    <w:rsid w:val="56D06A51"/>
    <w:rsid w:val="56D36E3F"/>
    <w:rsid w:val="56DB78D0"/>
    <w:rsid w:val="56EA7B13"/>
    <w:rsid w:val="56F02C50"/>
    <w:rsid w:val="56FE711B"/>
    <w:rsid w:val="57144B90"/>
    <w:rsid w:val="57236BB3"/>
    <w:rsid w:val="572E387B"/>
    <w:rsid w:val="573C16A0"/>
    <w:rsid w:val="574134AB"/>
    <w:rsid w:val="574F5BC8"/>
    <w:rsid w:val="575F60AE"/>
    <w:rsid w:val="57875362"/>
    <w:rsid w:val="57A5124C"/>
    <w:rsid w:val="57C56438"/>
    <w:rsid w:val="57D367F9"/>
    <w:rsid w:val="57E52089"/>
    <w:rsid w:val="57F16C7F"/>
    <w:rsid w:val="581035A9"/>
    <w:rsid w:val="581403AF"/>
    <w:rsid w:val="58207565"/>
    <w:rsid w:val="585A4825"/>
    <w:rsid w:val="5863552F"/>
    <w:rsid w:val="5866141B"/>
    <w:rsid w:val="586841F3"/>
    <w:rsid w:val="58694A68"/>
    <w:rsid w:val="588C6AB6"/>
    <w:rsid w:val="58A56F61"/>
    <w:rsid w:val="58A91BD4"/>
    <w:rsid w:val="58AB6E2E"/>
    <w:rsid w:val="58BB667D"/>
    <w:rsid w:val="58CA5552"/>
    <w:rsid w:val="58D00F8B"/>
    <w:rsid w:val="58DE706B"/>
    <w:rsid w:val="58E467E4"/>
    <w:rsid w:val="58E57981"/>
    <w:rsid w:val="58F72073"/>
    <w:rsid w:val="5902026F"/>
    <w:rsid w:val="59413C36"/>
    <w:rsid w:val="59527BF2"/>
    <w:rsid w:val="595B0854"/>
    <w:rsid w:val="59611F3F"/>
    <w:rsid w:val="596A6CE9"/>
    <w:rsid w:val="59872CBF"/>
    <w:rsid w:val="599207C5"/>
    <w:rsid w:val="59941FB8"/>
    <w:rsid w:val="59981AA8"/>
    <w:rsid w:val="5999137D"/>
    <w:rsid w:val="599E4BE5"/>
    <w:rsid w:val="59B937CD"/>
    <w:rsid w:val="59CC3500"/>
    <w:rsid w:val="59CF5D7B"/>
    <w:rsid w:val="59D06232"/>
    <w:rsid w:val="59E62DCC"/>
    <w:rsid w:val="59F667CF"/>
    <w:rsid w:val="5A137381"/>
    <w:rsid w:val="5A1C6061"/>
    <w:rsid w:val="5A2C0443"/>
    <w:rsid w:val="5A381C96"/>
    <w:rsid w:val="5A3B68D8"/>
    <w:rsid w:val="5A4A10DF"/>
    <w:rsid w:val="5A5615BC"/>
    <w:rsid w:val="5A5F6122"/>
    <w:rsid w:val="5A663955"/>
    <w:rsid w:val="5A6A76BD"/>
    <w:rsid w:val="5A743EF3"/>
    <w:rsid w:val="5A7C4F26"/>
    <w:rsid w:val="5A8618DB"/>
    <w:rsid w:val="5A9102A6"/>
    <w:rsid w:val="5A9B2ED2"/>
    <w:rsid w:val="5A9F29C3"/>
    <w:rsid w:val="5AA04A12"/>
    <w:rsid w:val="5AA4622B"/>
    <w:rsid w:val="5AA63D51"/>
    <w:rsid w:val="5AAF7F96"/>
    <w:rsid w:val="5AC24903"/>
    <w:rsid w:val="5ACC7530"/>
    <w:rsid w:val="5AD3266C"/>
    <w:rsid w:val="5AE3401D"/>
    <w:rsid w:val="5AE34FA5"/>
    <w:rsid w:val="5AF96577"/>
    <w:rsid w:val="5B0D0192"/>
    <w:rsid w:val="5B1213E7"/>
    <w:rsid w:val="5B13515F"/>
    <w:rsid w:val="5B1A56EE"/>
    <w:rsid w:val="5B20299D"/>
    <w:rsid w:val="5B3C119D"/>
    <w:rsid w:val="5B3C2907"/>
    <w:rsid w:val="5B4215E3"/>
    <w:rsid w:val="5B4377F2"/>
    <w:rsid w:val="5B48305A"/>
    <w:rsid w:val="5B5163B3"/>
    <w:rsid w:val="5B6065F6"/>
    <w:rsid w:val="5B827889"/>
    <w:rsid w:val="5B8B4C4D"/>
    <w:rsid w:val="5B8F2A37"/>
    <w:rsid w:val="5B9067AF"/>
    <w:rsid w:val="5BB029AE"/>
    <w:rsid w:val="5BB701E0"/>
    <w:rsid w:val="5BBE331C"/>
    <w:rsid w:val="5BCE03AD"/>
    <w:rsid w:val="5C085457"/>
    <w:rsid w:val="5C182A2D"/>
    <w:rsid w:val="5C4214BC"/>
    <w:rsid w:val="5C441A74"/>
    <w:rsid w:val="5C447CC6"/>
    <w:rsid w:val="5C763BF7"/>
    <w:rsid w:val="5C8C46DD"/>
    <w:rsid w:val="5C8E7193"/>
    <w:rsid w:val="5C94197A"/>
    <w:rsid w:val="5C993FCE"/>
    <w:rsid w:val="5CA95D7B"/>
    <w:rsid w:val="5CAD649E"/>
    <w:rsid w:val="5CB00EB7"/>
    <w:rsid w:val="5CC92463"/>
    <w:rsid w:val="5CDA4186"/>
    <w:rsid w:val="5CE14972"/>
    <w:rsid w:val="5CE2303B"/>
    <w:rsid w:val="5CEA3EA6"/>
    <w:rsid w:val="5CF516E9"/>
    <w:rsid w:val="5D027239"/>
    <w:rsid w:val="5D086F45"/>
    <w:rsid w:val="5D137698"/>
    <w:rsid w:val="5D17281B"/>
    <w:rsid w:val="5D437F7D"/>
    <w:rsid w:val="5D4635C9"/>
    <w:rsid w:val="5D4F5A01"/>
    <w:rsid w:val="5D59154F"/>
    <w:rsid w:val="5D5A2019"/>
    <w:rsid w:val="5D720862"/>
    <w:rsid w:val="5D9500AD"/>
    <w:rsid w:val="5D972077"/>
    <w:rsid w:val="5D9F2CDA"/>
    <w:rsid w:val="5DA32799"/>
    <w:rsid w:val="5DAC11ED"/>
    <w:rsid w:val="5DAF0D3C"/>
    <w:rsid w:val="5DAF6638"/>
    <w:rsid w:val="5DB52CF0"/>
    <w:rsid w:val="5DE52DE2"/>
    <w:rsid w:val="5DE74DAC"/>
    <w:rsid w:val="5DF855A1"/>
    <w:rsid w:val="5DF94AE0"/>
    <w:rsid w:val="5E2A6A47"/>
    <w:rsid w:val="5E2D4789"/>
    <w:rsid w:val="5E4D2952"/>
    <w:rsid w:val="5E6A32E8"/>
    <w:rsid w:val="5E707455"/>
    <w:rsid w:val="5E93283E"/>
    <w:rsid w:val="5E940365"/>
    <w:rsid w:val="5EAF519E"/>
    <w:rsid w:val="5EB032A0"/>
    <w:rsid w:val="5ED13367"/>
    <w:rsid w:val="5EF13A09"/>
    <w:rsid w:val="5EF157B7"/>
    <w:rsid w:val="5F047298"/>
    <w:rsid w:val="5F126D6B"/>
    <w:rsid w:val="5F1A2F60"/>
    <w:rsid w:val="5F1F0FB6"/>
    <w:rsid w:val="5F2D2C93"/>
    <w:rsid w:val="5F443B39"/>
    <w:rsid w:val="5F4940AE"/>
    <w:rsid w:val="5F7741D1"/>
    <w:rsid w:val="5F8E1258"/>
    <w:rsid w:val="5F9C01E7"/>
    <w:rsid w:val="5FAB3516"/>
    <w:rsid w:val="5FB46F10"/>
    <w:rsid w:val="5FF4555F"/>
    <w:rsid w:val="5FF501C6"/>
    <w:rsid w:val="5FFA45F4"/>
    <w:rsid w:val="60026320"/>
    <w:rsid w:val="6005151A"/>
    <w:rsid w:val="600D4872"/>
    <w:rsid w:val="601276EE"/>
    <w:rsid w:val="60145C01"/>
    <w:rsid w:val="60166098"/>
    <w:rsid w:val="60363DC9"/>
    <w:rsid w:val="607738C6"/>
    <w:rsid w:val="60BB7E2A"/>
    <w:rsid w:val="60BD0047"/>
    <w:rsid w:val="60CA62C0"/>
    <w:rsid w:val="60D07D7A"/>
    <w:rsid w:val="60F31CBA"/>
    <w:rsid w:val="60F872D1"/>
    <w:rsid w:val="61025A59"/>
    <w:rsid w:val="61047927"/>
    <w:rsid w:val="61112140"/>
    <w:rsid w:val="611D0AE5"/>
    <w:rsid w:val="612C6F7A"/>
    <w:rsid w:val="612F6A02"/>
    <w:rsid w:val="613D13B9"/>
    <w:rsid w:val="614E6EF1"/>
    <w:rsid w:val="615362B5"/>
    <w:rsid w:val="615E1D74"/>
    <w:rsid w:val="61693D2A"/>
    <w:rsid w:val="61734BA9"/>
    <w:rsid w:val="617A1A94"/>
    <w:rsid w:val="617B1395"/>
    <w:rsid w:val="61933019"/>
    <w:rsid w:val="61954B1F"/>
    <w:rsid w:val="619A0388"/>
    <w:rsid w:val="61A11716"/>
    <w:rsid w:val="61A905CB"/>
    <w:rsid w:val="61B21B4A"/>
    <w:rsid w:val="61B256D1"/>
    <w:rsid w:val="61DF3FED"/>
    <w:rsid w:val="6206197F"/>
    <w:rsid w:val="62212760"/>
    <w:rsid w:val="62467333"/>
    <w:rsid w:val="628232F6"/>
    <w:rsid w:val="629372B1"/>
    <w:rsid w:val="629B6165"/>
    <w:rsid w:val="62A0552A"/>
    <w:rsid w:val="62AB2480"/>
    <w:rsid w:val="62CD1B62"/>
    <w:rsid w:val="62DD052C"/>
    <w:rsid w:val="62DD677E"/>
    <w:rsid w:val="62E94778"/>
    <w:rsid w:val="62F51D1A"/>
    <w:rsid w:val="62F53AC8"/>
    <w:rsid w:val="63012498"/>
    <w:rsid w:val="633E321C"/>
    <w:rsid w:val="635307EE"/>
    <w:rsid w:val="635F7193"/>
    <w:rsid w:val="63676048"/>
    <w:rsid w:val="638906B4"/>
    <w:rsid w:val="639B0D6A"/>
    <w:rsid w:val="63C13BD5"/>
    <w:rsid w:val="63CA108D"/>
    <w:rsid w:val="63D77671"/>
    <w:rsid w:val="63F7561D"/>
    <w:rsid w:val="63F91396"/>
    <w:rsid w:val="63FA0855"/>
    <w:rsid w:val="63FA3360"/>
    <w:rsid w:val="64065861"/>
    <w:rsid w:val="64462101"/>
    <w:rsid w:val="644D348F"/>
    <w:rsid w:val="6450301D"/>
    <w:rsid w:val="64504D2E"/>
    <w:rsid w:val="645841F8"/>
    <w:rsid w:val="64585974"/>
    <w:rsid w:val="64680B03"/>
    <w:rsid w:val="647749B0"/>
    <w:rsid w:val="647C3D75"/>
    <w:rsid w:val="649323C0"/>
    <w:rsid w:val="64990483"/>
    <w:rsid w:val="649C7F73"/>
    <w:rsid w:val="649E018F"/>
    <w:rsid w:val="64C23E7D"/>
    <w:rsid w:val="64C37BF6"/>
    <w:rsid w:val="64C51278"/>
    <w:rsid w:val="64D373B1"/>
    <w:rsid w:val="65004ED1"/>
    <w:rsid w:val="652F2B95"/>
    <w:rsid w:val="6538516D"/>
    <w:rsid w:val="65556AA0"/>
    <w:rsid w:val="656A7C82"/>
    <w:rsid w:val="6582360D"/>
    <w:rsid w:val="659836EC"/>
    <w:rsid w:val="65A76BCF"/>
    <w:rsid w:val="65B65064"/>
    <w:rsid w:val="65C32BEB"/>
    <w:rsid w:val="65DA6FA5"/>
    <w:rsid w:val="660529F2"/>
    <w:rsid w:val="660B53B0"/>
    <w:rsid w:val="66134265"/>
    <w:rsid w:val="6619567A"/>
    <w:rsid w:val="661A55F3"/>
    <w:rsid w:val="661E1587"/>
    <w:rsid w:val="66240220"/>
    <w:rsid w:val="6641119C"/>
    <w:rsid w:val="66590B8C"/>
    <w:rsid w:val="6667087D"/>
    <w:rsid w:val="666A4ACD"/>
    <w:rsid w:val="666C3A5C"/>
    <w:rsid w:val="66884C53"/>
    <w:rsid w:val="669A3257"/>
    <w:rsid w:val="66A3383B"/>
    <w:rsid w:val="66B5531C"/>
    <w:rsid w:val="66BD5354"/>
    <w:rsid w:val="66ED2D08"/>
    <w:rsid w:val="67042B58"/>
    <w:rsid w:val="67254250"/>
    <w:rsid w:val="67340937"/>
    <w:rsid w:val="675039C2"/>
    <w:rsid w:val="67515233"/>
    <w:rsid w:val="67521BCE"/>
    <w:rsid w:val="6753700F"/>
    <w:rsid w:val="6784541A"/>
    <w:rsid w:val="678C42CF"/>
    <w:rsid w:val="678E7C93"/>
    <w:rsid w:val="679B09B6"/>
    <w:rsid w:val="67B53825"/>
    <w:rsid w:val="67D90194"/>
    <w:rsid w:val="67E55012"/>
    <w:rsid w:val="67E75368"/>
    <w:rsid w:val="67F130A7"/>
    <w:rsid w:val="67F26828"/>
    <w:rsid w:val="67F410E5"/>
    <w:rsid w:val="68030A35"/>
    <w:rsid w:val="6809591F"/>
    <w:rsid w:val="68120324"/>
    <w:rsid w:val="681744E0"/>
    <w:rsid w:val="68210EBB"/>
    <w:rsid w:val="682E35D8"/>
    <w:rsid w:val="685B1459"/>
    <w:rsid w:val="68633281"/>
    <w:rsid w:val="68680898"/>
    <w:rsid w:val="686E4FBE"/>
    <w:rsid w:val="687E455F"/>
    <w:rsid w:val="68802085"/>
    <w:rsid w:val="68945B31"/>
    <w:rsid w:val="68AC37F1"/>
    <w:rsid w:val="68B25FB7"/>
    <w:rsid w:val="68D012DA"/>
    <w:rsid w:val="68E02B24"/>
    <w:rsid w:val="68EA39A3"/>
    <w:rsid w:val="6912065F"/>
    <w:rsid w:val="6942733B"/>
    <w:rsid w:val="695452C0"/>
    <w:rsid w:val="695E5B81"/>
    <w:rsid w:val="69647A27"/>
    <w:rsid w:val="69653029"/>
    <w:rsid w:val="696F5C56"/>
    <w:rsid w:val="698B7303"/>
    <w:rsid w:val="6990528A"/>
    <w:rsid w:val="69937E95"/>
    <w:rsid w:val="699851AD"/>
    <w:rsid w:val="69A2602B"/>
    <w:rsid w:val="69A40D58"/>
    <w:rsid w:val="69A73642"/>
    <w:rsid w:val="69E14DA6"/>
    <w:rsid w:val="69FC1BE0"/>
    <w:rsid w:val="6A0D2E83"/>
    <w:rsid w:val="6A1B30A0"/>
    <w:rsid w:val="6A1E23C5"/>
    <w:rsid w:val="6A2048FC"/>
    <w:rsid w:val="6A3550F2"/>
    <w:rsid w:val="6A527A52"/>
    <w:rsid w:val="6A892D47"/>
    <w:rsid w:val="6A8A5BF7"/>
    <w:rsid w:val="6A934465"/>
    <w:rsid w:val="6A94006A"/>
    <w:rsid w:val="6A955B90"/>
    <w:rsid w:val="6AAD4F45"/>
    <w:rsid w:val="6ABC311D"/>
    <w:rsid w:val="6AC65D4A"/>
    <w:rsid w:val="6AF74155"/>
    <w:rsid w:val="6AFF1084"/>
    <w:rsid w:val="6B1B7E43"/>
    <w:rsid w:val="6B272C8C"/>
    <w:rsid w:val="6B2E5665"/>
    <w:rsid w:val="6B3001FE"/>
    <w:rsid w:val="6B460C38"/>
    <w:rsid w:val="6B633598"/>
    <w:rsid w:val="6B7D526B"/>
    <w:rsid w:val="6B7E6624"/>
    <w:rsid w:val="6B81193C"/>
    <w:rsid w:val="6B824FD4"/>
    <w:rsid w:val="6B8F25DF"/>
    <w:rsid w:val="6B9E0A74"/>
    <w:rsid w:val="6B9E0FF1"/>
    <w:rsid w:val="6B9E2823"/>
    <w:rsid w:val="6BAA1B81"/>
    <w:rsid w:val="6BB838E4"/>
    <w:rsid w:val="6BC32289"/>
    <w:rsid w:val="6BC762A6"/>
    <w:rsid w:val="6BCD012A"/>
    <w:rsid w:val="6BDA1B01"/>
    <w:rsid w:val="6BDD159D"/>
    <w:rsid w:val="6BFB050E"/>
    <w:rsid w:val="6C072A42"/>
    <w:rsid w:val="6C317A2E"/>
    <w:rsid w:val="6C516F3D"/>
    <w:rsid w:val="6C7C4AB0"/>
    <w:rsid w:val="6C8639E2"/>
    <w:rsid w:val="6C9C6D62"/>
    <w:rsid w:val="6CA24707"/>
    <w:rsid w:val="6CA36342"/>
    <w:rsid w:val="6CAC2A8F"/>
    <w:rsid w:val="6D12197C"/>
    <w:rsid w:val="6D162FB8"/>
    <w:rsid w:val="6D176D30"/>
    <w:rsid w:val="6D182027"/>
    <w:rsid w:val="6D3C43AF"/>
    <w:rsid w:val="6D4F0278"/>
    <w:rsid w:val="6D68758C"/>
    <w:rsid w:val="6D7221B9"/>
    <w:rsid w:val="6D7F4D8A"/>
    <w:rsid w:val="6D934609"/>
    <w:rsid w:val="6DD62748"/>
    <w:rsid w:val="6DE44E65"/>
    <w:rsid w:val="6DF52EB2"/>
    <w:rsid w:val="6DFB21AE"/>
    <w:rsid w:val="6E01571D"/>
    <w:rsid w:val="6E0C43BB"/>
    <w:rsid w:val="6E2910FF"/>
    <w:rsid w:val="6E301E58"/>
    <w:rsid w:val="6E366F69"/>
    <w:rsid w:val="6E3F209B"/>
    <w:rsid w:val="6E4753F3"/>
    <w:rsid w:val="6E4B4EE4"/>
    <w:rsid w:val="6E507617"/>
    <w:rsid w:val="6E562D23"/>
    <w:rsid w:val="6E7361E8"/>
    <w:rsid w:val="6E8838A6"/>
    <w:rsid w:val="6E8E6B7E"/>
    <w:rsid w:val="6E922B12"/>
    <w:rsid w:val="6EA22021"/>
    <w:rsid w:val="6EB027C4"/>
    <w:rsid w:val="6ECD113C"/>
    <w:rsid w:val="6EEA46FD"/>
    <w:rsid w:val="6F036013"/>
    <w:rsid w:val="6F0F4163"/>
    <w:rsid w:val="6F2177A4"/>
    <w:rsid w:val="6F2A2D4B"/>
    <w:rsid w:val="6F3C65DA"/>
    <w:rsid w:val="6F3E6657"/>
    <w:rsid w:val="6F632819"/>
    <w:rsid w:val="6F871EB3"/>
    <w:rsid w:val="6FA26D85"/>
    <w:rsid w:val="6FAF3250"/>
    <w:rsid w:val="6FBC4BD3"/>
    <w:rsid w:val="6FC33743"/>
    <w:rsid w:val="6FD97EA3"/>
    <w:rsid w:val="6FE0165C"/>
    <w:rsid w:val="6FE253D4"/>
    <w:rsid w:val="6FE81F10"/>
    <w:rsid w:val="6FF70753"/>
    <w:rsid w:val="6FF81258"/>
    <w:rsid w:val="6FFE5F86"/>
    <w:rsid w:val="701557A9"/>
    <w:rsid w:val="70173B29"/>
    <w:rsid w:val="701D0187"/>
    <w:rsid w:val="701E2184"/>
    <w:rsid w:val="7023779A"/>
    <w:rsid w:val="702552C0"/>
    <w:rsid w:val="70294DB1"/>
    <w:rsid w:val="7037553C"/>
    <w:rsid w:val="705B6C6A"/>
    <w:rsid w:val="706978A3"/>
    <w:rsid w:val="70850B09"/>
    <w:rsid w:val="709F700A"/>
    <w:rsid w:val="70AB0FA0"/>
    <w:rsid w:val="70B86135"/>
    <w:rsid w:val="70BA00FF"/>
    <w:rsid w:val="70BA081E"/>
    <w:rsid w:val="70BD374B"/>
    <w:rsid w:val="70BF683C"/>
    <w:rsid w:val="70CA5617"/>
    <w:rsid w:val="70E44D27"/>
    <w:rsid w:val="70EE1B56"/>
    <w:rsid w:val="70F03B20"/>
    <w:rsid w:val="70FF0086"/>
    <w:rsid w:val="711315BD"/>
    <w:rsid w:val="711C1831"/>
    <w:rsid w:val="711E68DF"/>
    <w:rsid w:val="71237F65"/>
    <w:rsid w:val="7127537A"/>
    <w:rsid w:val="713F18D7"/>
    <w:rsid w:val="713F665A"/>
    <w:rsid w:val="71474BC6"/>
    <w:rsid w:val="71557337"/>
    <w:rsid w:val="716B13F9"/>
    <w:rsid w:val="717A163C"/>
    <w:rsid w:val="719E357C"/>
    <w:rsid w:val="71A62431"/>
    <w:rsid w:val="71AD1A11"/>
    <w:rsid w:val="71B72890"/>
    <w:rsid w:val="71B96608"/>
    <w:rsid w:val="71C34D91"/>
    <w:rsid w:val="71CF7BDA"/>
    <w:rsid w:val="71D445A9"/>
    <w:rsid w:val="71DE1BCB"/>
    <w:rsid w:val="722D66AE"/>
    <w:rsid w:val="722E2B52"/>
    <w:rsid w:val="7234469F"/>
    <w:rsid w:val="72457E9C"/>
    <w:rsid w:val="7249173A"/>
    <w:rsid w:val="725B1B96"/>
    <w:rsid w:val="72604CD6"/>
    <w:rsid w:val="72780FBA"/>
    <w:rsid w:val="729329B5"/>
    <w:rsid w:val="72A921D9"/>
    <w:rsid w:val="72BE7843"/>
    <w:rsid w:val="72CE4F8E"/>
    <w:rsid w:val="72D60AF4"/>
    <w:rsid w:val="72DA5C71"/>
    <w:rsid w:val="72FC0C75"/>
    <w:rsid w:val="730B4C41"/>
    <w:rsid w:val="731B41FE"/>
    <w:rsid w:val="733E5017"/>
    <w:rsid w:val="735A33F5"/>
    <w:rsid w:val="73770C76"/>
    <w:rsid w:val="73797DFD"/>
    <w:rsid w:val="7395275D"/>
    <w:rsid w:val="739833E1"/>
    <w:rsid w:val="73BD5AAB"/>
    <w:rsid w:val="73C5760B"/>
    <w:rsid w:val="73D019E7"/>
    <w:rsid w:val="73D86B40"/>
    <w:rsid w:val="73FC5591"/>
    <w:rsid w:val="74052F11"/>
    <w:rsid w:val="740E3197"/>
    <w:rsid w:val="7416564C"/>
    <w:rsid w:val="74251D33"/>
    <w:rsid w:val="742835D1"/>
    <w:rsid w:val="743F0F2C"/>
    <w:rsid w:val="745443C6"/>
    <w:rsid w:val="746270C8"/>
    <w:rsid w:val="747D1B6F"/>
    <w:rsid w:val="7487479C"/>
    <w:rsid w:val="74913DDA"/>
    <w:rsid w:val="7496678D"/>
    <w:rsid w:val="749B0247"/>
    <w:rsid w:val="74AD0A8D"/>
    <w:rsid w:val="74AF7CC6"/>
    <w:rsid w:val="74BB61F3"/>
    <w:rsid w:val="74D177C5"/>
    <w:rsid w:val="74E474F8"/>
    <w:rsid w:val="74F17E67"/>
    <w:rsid w:val="74F45F84"/>
    <w:rsid w:val="7510653F"/>
    <w:rsid w:val="757A7E5C"/>
    <w:rsid w:val="75825AED"/>
    <w:rsid w:val="758331B5"/>
    <w:rsid w:val="75846F2D"/>
    <w:rsid w:val="758B206A"/>
    <w:rsid w:val="759E1D9D"/>
    <w:rsid w:val="759F5B15"/>
    <w:rsid w:val="75B415C0"/>
    <w:rsid w:val="75BA301C"/>
    <w:rsid w:val="75E43172"/>
    <w:rsid w:val="76114B2F"/>
    <w:rsid w:val="761E6A3A"/>
    <w:rsid w:val="761F6384"/>
    <w:rsid w:val="762304F4"/>
    <w:rsid w:val="762D1373"/>
    <w:rsid w:val="7630040E"/>
    <w:rsid w:val="7633268E"/>
    <w:rsid w:val="763A21EF"/>
    <w:rsid w:val="765D4915"/>
    <w:rsid w:val="7677439C"/>
    <w:rsid w:val="7691545E"/>
    <w:rsid w:val="769211D6"/>
    <w:rsid w:val="76966F18"/>
    <w:rsid w:val="76AC4D83"/>
    <w:rsid w:val="76B15B00"/>
    <w:rsid w:val="76B4114C"/>
    <w:rsid w:val="76E71522"/>
    <w:rsid w:val="76E75929"/>
    <w:rsid w:val="76FD1290"/>
    <w:rsid w:val="76FF686B"/>
    <w:rsid w:val="772014B0"/>
    <w:rsid w:val="77381D7D"/>
    <w:rsid w:val="774626EC"/>
    <w:rsid w:val="775766A7"/>
    <w:rsid w:val="775A1CF3"/>
    <w:rsid w:val="777A4144"/>
    <w:rsid w:val="777E236F"/>
    <w:rsid w:val="77950F7E"/>
    <w:rsid w:val="779E42D6"/>
    <w:rsid w:val="77B21B30"/>
    <w:rsid w:val="77B237D5"/>
    <w:rsid w:val="77B70EF4"/>
    <w:rsid w:val="77C402DF"/>
    <w:rsid w:val="77C572B5"/>
    <w:rsid w:val="77DE0B76"/>
    <w:rsid w:val="77F2564D"/>
    <w:rsid w:val="780B1240"/>
    <w:rsid w:val="781E71C5"/>
    <w:rsid w:val="78263460"/>
    <w:rsid w:val="78263FA6"/>
    <w:rsid w:val="783B1B25"/>
    <w:rsid w:val="78412EB3"/>
    <w:rsid w:val="7843349B"/>
    <w:rsid w:val="784A6749"/>
    <w:rsid w:val="784F737E"/>
    <w:rsid w:val="785030F6"/>
    <w:rsid w:val="78664D33"/>
    <w:rsid w:val="788D39F7"/>
    <w:rsid w:val="78994A9D"/>
    <w:rsid w:val="78A53442"/>
    <w:rsid w:val="78A82F32"/>
    <w:rsid w:val="78A8359A"/>
    <w:rsid w:val="78AC0EF3"/>
    <w:rsid w:val="78C20C10"/>
    <w:rsid w:val="78C80EDF"/>
    <w:rsid w:val="78CE37AA"/>
    <w:rsid w:val="78D9582D"/>
    <w:rsid w:val="78E97B0F"/>
    <w:rsid w:val="78F53EF2"/>
    <w:rsid w:val="78FA6290"/>
    <w:rsid w:val="79134850"/>
    <w:rsid w:val="791A3E30"/>
    <w:rsid w:val="792627D5"/>
    <w:rsid w:val="793D7B1F"/>
    <w:rsid w:val="79426EE3"/>
    <w:rsid w:val="7945440C"/>
    <w:rsid w:val="794762A8"/>
    <w:rsid w:val="794E7636"/>
    <w:rsid w:val="79606526"/>
    <w:rsid w:val="796C6412"/>
    <w:rsid w:val="79720FCD"/>
    <w:rsid w:val="797D616D"/>
    <w:rsid w:val="7981328D"/>
    <w:rsid w:val="7993773F"/>
    <w:rsid w:val="799A287B"/>
    <w:rsid w:val="79B2043C"/>
    <w:rsid w:val="79B21A11"/>
    <w:rsid w:val="79D00993"/>
    <w:rsid w:val="79DA35C0"/>
    <w:rsid w:val="79E1494E"/>
    <w:rsid w:val="79ED6F90"/>
    <w:rsid w:val="79F34008"/>
    <w:rsid w:val="7A075E8E"/>
    <w:rsid w:val="7A13262E"/>
    <w:rsid w:val="7A2111EE"/>
    <w:rsid w:val="7A2C3409"/>
    <w:rsid w:val="7A342CD0"/>
    <w:rsid w:val="7A3D2D76"/>
    <w:rsid w:val="7A4F18B8"/>
    <w:rsid w:val="7A552C46"/>
    <w:rsid w:val="7A61783D"/>
    <w:rsid w:val="7A756E44"/>
    <w:rsid w:val="7A831561"/>
    <w:rsid w:val="7A835A05"/>
    <w:rsid w:val="7A951295"/>
    <w:rsid w:val="7A9674E6"/>
    <w:rsid w:val="7A990D85"/>
    <w:rsid w:val="7AAC6D0A"/>
    <w:rsid w:val="7ABA5380"/>
    <w:rsid w:val="7AC922A4"/>
    <w:rsid w:val="7ACF1692"/>
    <w:rsid w:val="7AD718AD"/>
    <w:rsid w:val="7ADE68DB"/>
    <w:rsid w:val="7AE04C06"/>
    <w:rsid w:val="7AE244DA"/>
    <w:rsid w:val="7B027F7C"/>
    <w:rsid w:val="7B205002"/>
    <w:rsid w:val="7B294867"/>
    <w:rsid w:val="7B3E36DA"/>
    <w:rsid w:val="7B424F78"/>
    <w:rsid w:val="7B4927AB"/>
    <w:rsid w:val="7B7A2964"/>
    <w:rsid w:val="7B914152"/>
    <w:rsid w:val="7B95154C"/>
    <w:rsid w:val="7B9A6B62"/>
    <w:rsid w:val="7BC10593"/>
    <w:rsid w:val="7BC57958"/>
    <w:rsid w:val="7BC9569A"/>
    <w:rsid w:val="7BF070CA"/>
    <w:rsid w:val="7C004C80"/>
    <w:rsid w:val="7C1D10FF"/>
    <w:rsid w:val="7C23124E"/>
    <w:rsid w:val="7C4A4A2C"/>
    <w:rsid w:val="7C58161B"/>
    <w:rsid w:val="7C596A1E"/>
    <w:rsid w:val="7C7C095E"/>
    <w:rsid w:val="7C9E2682"/>
    <w:rsid w:val="7CAA2F40"/>
    <w:rsid w:val="7CAA54CB"/>
    <w:rsid w:val="7CAD4AAF"/>
    <w:rsid w:val="7CB35F1C"/>
    <w:rsid w:val="7CCD740C"/>
    <w:rsid w:val="7CE64029"/>
    <w:rsid w:val="7D0F3196"/>
    <w:rsid w:val="7D366731"/>
    <w:rsid w:val="7D3905FD"/>
    <w:rsid w:val="7D496A92"/>
    <w:rsid w:val="7D4C0330"/>
    <w:rsid w:val="7D537911"/>
    <w:rsid w:val="7D553689"/>
    <w:rsid w:val="7D6D7F4D"/>
    <w:rsid w:val="7D796C4C"/>
    <w:rsid w:val="7D8775BA"/>
    <w:rsid w:val="7DA21337"/>
    <w:rsid w:val="7DB4373E"/>
    <w:rsid w:val="7DD02D0F"/>
    <w:rsid w:val="7DD673F6"/>
    <w:rsid w:val="7DDB4152"/>
    <w:rsid w:val="7E0E1389"/>
    <w:rsid w:val="7E0F3299"/>
    <w:rsid w:val="7E103A31"/>
    <w:rsid w:val="7E4159BB"/>
    <w:rsid w:val="7E4B4A8C"/>
    <w:rsid w:val="7E4F53E9"/>
    <w:rsid w:val="7E590864"/>
    <w:rsid w:val="7E665422"/>
    <w:rsid w:val="7E691F7C"/>
    <w:rsid w:val="7E8243D0"/>
    <w:rsid w:val="7E9F3009"/>
    <w:rsid w:val="7EA128FE"/>
    <w:rsid w:val="7EC55299"/>
    <w:rsid w:val="7ED71E7C"/>
    <w:rsid w:val="7F264BB1"/>
    <w:rsid w:val="7F2C5A61"/>
    <w:rsid w:val="7F2F7F0A"/>
    <w:rsid w:val="7F370B6C"/>
    <w:rsid w:val="7F5B2AAD"/>
    <w:rsid w:val="7F5F4201"/>
    <w:rsid w:val="7F643C19"/>
    <w:rsid w:val="7F671451"/>
    <w:rsid w:val="7F6A2CF0"/>
    <w:rsid w:val="7F7122D0"/>
    <w:rsid w:val="7F935CD1"/>
    <w:rsid w:val="7F9A1827"/>
    <w:rsid w:val="7FB14DC3"/>
    <w:rsid w:val="7FB83A5B"/>
    <w:rsid w:val="7FBC0A14"/>
    <w:rsid w:val="7FC45302"/>
    <w:rsid w:val="7FDB3BED"/>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39" w:semiHidden="0" w:name="Normal"/>
    <w:lsdException w:qFormat="1" w:unhideWhenUsed="0" w:uiPriority="9" w:name="heading 1"/>
    <w:lsdException w:qFormat="1" w:unhideWhenUsed="0" w:uiPriority="9" w:name="heading 2"/>
    <w:lsdException w:qFormat="1" w:unhideWhenUsed="0" w:uiPriority="9" w:name="heading 3"/>
    <w:lsdException w:qFormat="1" w:unhideWhenUsed="0" w:uiPriority="9" w:name="heading 4"/>
    <w:lsdException w:qFormat="1" w:unhideWhenUsed="0" w:uiPriority="9" w:name="heading 5"/>
    <w:lsdException w:qFormat="1" w:unhideWhenUsed="0" w:uiPriority="9" w:name="heading 6"/>
    <w:lsdException w:qFormat="1" w:unhideWhenUsed="0" w:uiPriority="9" w:name="heading 7"/>
    <w:lsdException w:qFormat="1" w:unhideWhenUsed="0" w:uiPriority="9" w:name="heading 8"/>
    <w:lsdException w:qFormat="1" w:unhideWhenUsed="0" w:uiPriority="9" w:name="heading 9"/>
    <w:lsdException w:unhideWhenUsed="0" w:uiPriority="99" w:name="index 1"/>
    <w:lsdException w:unhideWhenUsed="0" w:uiPriority="99" w:name="index 2"/>
    <w:lsdException w:unhideWhenUsed="0" w:uiPriority="99" w:name="index 3"/>
    <w:lsdException w:unhideWhenUsed="0" w:uiPriority="99" w:name="index 4"/>
    <w:lsdException w:unhideWhenUsed="0" w:uiPriority="99" w:name="index 5"/>
    <w:lsdException w:unhideWhenUsed="0" w:uiPriority="99" w:name="index 6"/>
    <w:lsdException w:unhideWhenUsed="0" w:uiPriority="99" w:name="index 7"/>
    <w:lsdException w:unhideWhenUsed="0" w:uiPriority="99" w:name="index 8"/>
    <w:lsdException w:unhideWhenUsed="0"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name="toc 4"/>
    <w:lsdException w:unhideWhenUsed="0" w:uiPriority="39" w:name="toc 5"/>
    <w:lsdException w:unhideWhenUsed="0" w:uiPriority="39" w:name="toc 6"/>
    <w:lsdException w:unhideWhenUsed="0" w:uiPriority="39" w:name="toc 7"/>
    <w:lsdException w:unhideWhenUsed="0" w:uiPriority="39" w:name="toc 8"/>
    <w:lsdException w:unhideWhenUsed="0" w:uiPriority="39" w:name="toc 9"/>
    <w:lsdException w:unhideWhenUsed="0" w:uiPriority="99" w:name="Normal Indent"/>
    <w:lsdException w:unhideWhenUsed="0" w:uiPriority="99" w:name="footnote text"/>
    <w:lsdException w:unhideWhenUsed="0" w:uiPriority="99" w:name="annotation text"/>
    <w:lsdException w:qFormat="1" w:unhideWhenUsed="0" w:uiPriority="99" w:name="header"/>
    <w:lsdException w:qFormat="1" w:unhideWhenUsed="0" w:uiPriority="99" w:semiHidden="0" w:name="footer"/>
    <w:lsdException w:unhideWhenUsed="0" w:uiPriority="99" w:name="index heading"/>
    <w:lsdException w:qFormat="1" w:unhideWhenUsed="0" w:uiPriority="35" w:name="caption"/>
    <w:lsdException w:qFormat="1" w:unhideWhenUsed="0" w:uiPriority="99" w:semiHidden="0" w:name="table of figures"/>
    <w:lsdException w:unhideWhenUsed="0" w:uiPriority="99" w:name="envelope address"/>
    <w:lsdException w:unhideWhenUsed="0" w:uiPriority="99" w:name="envelope return"/>
    <w:lsdException w:unhideWhenUsed="0" w:uiPriority="99" w:name="footnote reference"/>
    <w:lsdException w:unhideWhenUsed="0" w:uiPriority="99" w:name="annotation reference"/>
    <w:lsdException w:unhideWhenUsed="0" w:uiPriority="99" w:name="line number"/>
    <w:lsdException w:unhideWhenUsed="0" w:uiPriority="99" w:name="page number"/>
    <w:lsdException w:unhideWhenUsed="0" w:uiPriority="99" w:name="endnote reference"/>
    <w:lsdException w:unhideWhenUsed="0" w:uiPriority="99" w:name="endnote text"/>
    <w:lsdException w:unhideWhenUsed="0" w:uiPriority="99" w:name="table of authorities"/>
    <w:lsdException w:unhideWhenUsed="0" w:uiPriority="99" w:name="macro"/>
    <w:lsdException w:unhideWhenUsed="0" w:uiPriority="99" w:name="toa heading"/>
    <w:lsdException w:unhideWhenUsed="0" w:uiPriority="99" w:name="List"/>
    <w:lsdException w:unhideWhenUsed="0" w:uiPriority="99" w:name="List Bullet"/>
    <w:lsdException w:unhideWhenUsed="0" w:uiPriority="99" w:name="List Number"/>
    <w:lsdException w:unhideWhenUsed="0" w:uiPriority="99" w:name="List 2"/>
    <w:lsdException w:unhideWhenUsed="0" w:uiPriority="99" w:name="List 3"/>
    <w:lsdException w:unhideWhenUsed="0" w:uiPriority="99" w:name="List 4"/>
    <w:lsdException w:unhideWhenUsed="0" w:uiPriority="99" w:name="List 5"/>
    <w:lsdException w:unhideWhenUsed="0" w:uiPriority="99" w:name="List Bullet 2"/>
    <w:lsdException w:unhideWhenUsed="0" w:uiPriority="99" w:name="List Bullet 3"/>
    <w:lsdException w:unhideWhenUsed="0" w:uiPriority="99" w:name="List Bullet 4"/>
    <w:lsdException w:unhideWhenUsed="0" w:uiPriority="99" w:name="List Bullet 5"/>
    <w:lsdException w:unhideWhenUsed="0" w:uiPriority="99" w:name="List Number 2"/>
    <w:lsdException w:unhideWhenUsed="0" w:uiPriority="99" w:name="List Number 3"/>
    <w:lsdException w:unhideWhenUsed="0" w:uiPriority="99" w:name="List Number 4"/>
    <w:lsdException w:unhideWhenUsed="0" w:uiPriority="99" w:name="List Number 5"/>
    <w:lsdException w:qFormat="1" w:unhideWhenUsed="0" w:uiPriority="10" w:name="Title"/>
    <w:lsdException w:unhideWhenUsed="0" w:uiPriority="99" w:name="Closing"/>
    <w:lsdException w:unhideWhenUsed="0" w:uiPriority="99" w:name="Signature"/>
    <w:lsdException w:uiPriority="1" w:name="Default Paragraph Font"/>
    <w:lsdException w:unhideWhenUsed="0" w:uiPriority="99" w:name="Body Text"/>
    <w:lsdException w:unhideWhenUsed="0" w:uiPriority="99" w:name="Body Text Indent"/>
    <w:lsdException w:unhideWhenUsed="0" w:uiPriority="99" w:name="List Continue"/>
    <w:lsdException w:unhideWhenUsed="0" w:uiPriority="99" w:name="List Continue 2"/>
    <w:lsdException w:unhideWhenUsed="0" w:uiPriority="99" w:name="List Continue 3"/>
    <w:lsdException w:unhideWhenUsed="0" w:uiPriority="99" w:name="List Continue 4"/>
    <w:lsdException w:unhideWhenUsed="0" w:uiPriority="99" w:name="List Continue 5"/>
    <w:lsdException w:unhideWhenUsed="0" w:uiPriority="99" w:name="Message Header"/>
    <w:lsdException w:qFormat="1" w:unhideWhenUsed="0" w:uiPriority="11" w:semiHidden="0" w:name="Subtitle"/>
    <w:lsdException w:unhideWhenUsed="0" w:uiPriority="99" w:name="Salutation"/>
    <w:lsdException w:unhideWhenUsed="0" w:uiPriority="99" w:name="Date"/>
    <w:lsdException w:unhideWhenUsed="0" w:uiPriority="99" w:name="Body Text First Indent"/>
    <w:lsdException w:unhideWhenUsed="0" w:uiPriority="99" w:name="Body Text First Indent 2"/>
    <w:lsdException w:unhideWhenUsed="0" w:uiPriority="99" w:name="Note Heading"/>
    <w:lsdException w:unhideWhenUsed="0" w:uiPriority="99" w:name="Body Text 2"/>
    <w:lsdException w:unhideWhenUsed="0" w:uiPriority="99" w:name="Body Text 3"/>
    <w:lsdException w:unhideWhenUsed="0" w:uiPriority="99" w:name="Body Text Indent 2"/>
    <w:lsdException w:unhideWhenUsed="0" w:uiPriority="99" w:name="Body Text Indent 3"/>
    <w:lsdException w:unhideWhenUsed="0" w:uiPriority="99" w:name="Block Text"/>
    <w:lsdException w:qFormat="1"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unhideWhenUsed="0" w:uiPriority="99" w:name="Document Map"/>
    <w:lsdException w:unhideWhenUsed="0" w:uiPriority="99" w:name="Plain Text"/>
    <w:lsdException w:unhideWhenUsed="0" w:uiPriority="99" w:name="E-mail Signature"/>
    <w:lsdException w:unhideWhenUsed="0" w:uiPriority="99" w:name="Normal (Web)"/>
    <w:lsdException w:unhideWhenUsed="0" w:uiPriority="99" w:name="HTML Acronym"/>
    <w:lsdException w:unhideWhenUsed="0" w:uiPriority="99" w:name="HTML Address"/>
    <w:lsdException w:unhideWhenUsed="0" w:uiPriority="99" w:name="HTML Cite"/>
    <w:lsdException w:unhideWhenUsed="0" w:uiPriority="99" w:name="HTML Code"/>
    <w:lsdException w:unhideWhenUsed="0" w:uiPriority="99" w:name="HTML Definition"/>
    <w:lsdException w:unhideWhenUsed="0" w:uiPriority="99" w:name="HTML Keyboard"/>
    <w:lsdException w:unhideWhenUsed="0" w:uiPriority="99" w:name="HTML Preformatted"/>
    <w:lsdException w:unhideWhenUsed="0" w:uiPriority="99" w:name="HTML Sample"/>
    <w:lsdException w:unhideWhenUsed="0" w:uiPriority="99" w:name="HTML Typewriter"/>
    <w:lsdException w:unhideWhenUsed="0" w:uiPriority="99" w:name="HTML Variable"/>
    <w:lsdException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39"/>
    <w:pPr>
      <w:widowControl w:val="0"/>
      <w:jc w:val="both"/>
    </w:pPr>
    <w:rPr>
      <w:rFonts w:asciiTheme="minorHAnsi" w:hAnsiTheme="minorHAnsi" w:eastAsiaTheme="minorEastAsia" w:cstheme="minorBidi"/>
      <w:kern w:val="2"/>
      <w:sz w:val="21"/>
      <w:szCs w:val="21"/>
      <w:lang w:val="en-US" w:eastAsia="zh-CN" w:bidi="ar-SA"/>
    </w:rPr>
  </w:style>
  <w:style w:type="paragraph" w:styleId="2">
    <w:name w:val="heading 1"/>
    <w:basedOn w:val="1"/>
    <w:next w:val="1"/>
    <w:link w:val="33"/>
    <w:semiHidden/>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semiHidden/>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semiHidden/>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5">
    <w:name w:val="caption"/>
    <w:basedOn w:val="1"/>
    <w:next w:val="1"/>
    <w:semiHidden/>
    <w:qFormat/>
    <w:uiPriority w:val="35"/>
    <w:rPr>
      <w:rFonts w:eastAsia="黑体" w:asciiTheme="majorHAnsi" w:hAnsiTheme="majorHAnsi" w:cstheme="majorBidi"/>
      <w:sz w:val="20"/>
      <w:szCs w:val="20"/>
    </w:rPr>
  </w:style>
  <w:style w:type="paragraph" w:styleId="6">
    <w:name w:val="toc 3"/>
    <w:basedOn w:val="1"/>
    <w:next w:val="1"/>
    <w:qFormat/>
    <w:uiPriority w:val="39"/>
    <w:pPr>
      <w:adjustRightInd w:val="0"/>
      <w:snapToGrid w:val="0"/>
    </w:pPr>
    <w:rPr>
      <w:rFonts w:ascii="Arial" w:hAnsi="Arial" w:eastAsia="微软雅黑"/>
      <w:color w:val="000000" w:themeColor="text1"/>
      <w:sz w:val="24"/>
      <w14:textFill>
        <w14:solidFill>
          <w14:schemeClr w14:val="tx1"/>
        </w14:solidFill>
      </w14:textFill>
    </w:rPr>
  </w:style>
  <w:style w:type="paragraph" w:styleId="7">
    <w:name w:val="footer"/>
    <w:basedOn w:val="1"/>
    <w:link w:val="20"/>
    <w:qFormat/>
    <w:uiPriority w:val="99"/>
    <w:pPr>
      <w:tabs>
        <w:tab w:val="center" w:pos="4153"/>
        <w:tab w:val="right" w:pos="8306"/>
      </w:tabs>
      <w:snapToGrid w:val="0"/>
      <w:jc w:val="left"/>
    </w:pPr>
    <w:rPr>
      <w:sz w:val="18"/>
      <w:szCs w:val="18"/>
    </w:rPr>
  </w:style>
  <w:style w:type="paragraph" w:styleId="8">
    <w:name w:val="header"/>
    <w:basedOn w:val="1"/>
    <w:link w:val="19"/>
    <w:semiHidden/>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0"/>
    <w:next w:val="1"/>
    <w:qFormat/>
    <w:uiPriority w:val="39"/>
    <w:pPr>
      <w:tabs>
        <w:tab w:val="right" w:leader="dot" w:pos="10195"/>
      </w:tabs>
      <w:spacing w:before="50" w:beforeLines="50" w:after="50" w:afterLines="50"/>
    </w:pPr>
    <w:rPr>
      <w:b/>
      <w:color w:val="D70C25"/>
      <w:sz w:val="28"/>
    </w:rPr>
  </w:style>
  <w:style w:type="paragraph" w:customStyle="1" w:styleId="10">
    <w:name w:val="【正文】基础样式"/>
    <w:qFormat/>
    <w:uiPriority w:val="11"/>
    <w:pPr>
      <w:adjustRightInd w:val="0"/>
      <w:snapToGrid w:val="0"/>
    </w:pPr>
    <w:rPr>
      <w:rFonts w:ascii="Arial" w:hAnsi="Arial" w:eastAsia="方正兰亭圆简体" w:cstheme="minorBidi"/>
      <w:kern w:val="2"/>
      <w:szCs w:val="21"/>
      <w:lang w:val="en-US" w:eastAsia="zh-CN" w:bidi="ar-SA"/>
    </w:rPr>
  </w:style>
  <w:style w:type="paragraph" w:styleId="11">
    <w:name w:val="table of figures"/>
    <w:basedOn w:val="1"/>
    <w:next w:val="1"/>
    <w:qFormat/>
    <w:uiPriority w:val="99"/>
    <w:pPr>
      <w:adjustRightInd w:val="0"/>
      <w:snapToGrid w:val="0"/>
    </w:pPr>
    <w:rPr>
      <w:rFonts w:ascii="Arial" w:hAnsi="Arial" w:eastAsia="方正兰亭圆简体"/>
      <w:color w:val="000000" w:themeColor="text1"/>
      <w:sz w:val="20"/>
      <w14:textFill>
        <w14:solidFill>
          <w14:schemeClr w14:val="tx1"/>
        </w14:solidFill>
      </w14:textFill>
    </w:rPr>
  </w:style>
  <w:style w:type="paragraph" w:styleId="12">
    <w:name w:val="toc 2"/>
    <w:basedOn w:val="1"/>
    <w:next w:val="1"/>
    <w:qFormat/>
    <w:uiPriority w:val="39"/>
    <w:pPr>
      <w:adjustRightInd w:val="0"/>
      <w:snapToGrid w:val="0"/>
    </w:pPr>
    <w:rPr>
      <w:rFonts w:ascii="Arial" w:hAnsi="Arial" w:eastAsia="方正兰亭圆简体"/>
      <w:color w:val="000000" w:themeColor="text1"/>
      <w:sz w:val="24"/>
      <w14:textFill>
        <w14:solidFill>
          <w14:schemeClr w14:val="tx1"/>
        </w14:solidFill>
      </w14:textFill>
    </w:rPr>
  </w:style>
  <w:style w:type="paragraph" w:styleId="13">
    <w:name w:val="Normal (Web)"/>
    <w:basedOn w:val="1"/>
    <w:semiHidden/>
    <w:uiPriority w:val="99"/>
    <w:rPr>
      <w:rFonts w:ascii="Times New Roman" w:hAnsi="Times New Roman" w:cs="Times New Roman"/>
      <w:sz w:val="24"/>
      <w:szCs w:val="24"/>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semiHidden/>
    <w:qFormat/>
    <w:uiPriority w:val="99"/>
    <w:rPr>
      <w:color w:val="954F72" w:themeColor="followedHyperlink"/>
      <w:u w:val="single"/>
      <w14:textFill>
        <w14:solidFill>
          <w14:schemeClr w14:val="folHlink"/>
        </w14:solidFill>
      </w14:textFill>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customStyle="1" w:styleId="19">
    <w:name w:val="页眉 字符"/>
    <w:basedOn w:val="16"/>
    <w:link w:val="8"/>
    <w:semiHidden/>
    <w:qFormat/>
    <w:uiPriority w:val="99"/>
    <w:rPr>
      <w:sz w:val="18"/>
      <w:szCs w:val="18"/>
    </w:rPr>
  </w:style>
  <w:style w:type="character" w:customStyle="1" w:styleId="20">
    <w:name w:val="页脚 字符"/>
    <w:basedOn w:val="16"/>
    <w:link w:val="7"/>
    <w:qFormat/>
    <w:uiPriority w:val="99"/>
    <w:rPr>
      <w:sz w:val="18"/>
      <w:szCs w:val="18"/>
    </w:rPr>
  </w:style>
  <w:style w:type="paragraph" w:customStyle="1" w:styleId="21">
    <w:name w:val="【摘要】内容样式"/>
    <w:basedOn w:val="22"/>
    <w:qFormat/>
    <w:uiPriority w:val="1"/>
    <w:pPr>
      <w:spacing w:after="50" w:afterLines="50" w:line="400" w:lineRule="exact"/>
    </w:pPr>
    <w:rPr>
      <w:rFonts w:ascii="Arial" w:hAnsi="Arial" w:eastAsia="思源黑体"/>
      <w:sz w:val="18"/>
    </w:rPr>
  </w:style>
  <w:style w:type="paragraph" w:customStyle="1" w:styleId="22">
    <w:name w:val="【首页】基础样式"/>
    <w:qFormat/>
    <w:uiPriority w:val="39"/>
    <w:pPr>
      <w:autoSpaceDE w:val="0"/>
      <w:autoSpaceDN w:val="0"/>
      <w:adjustRightInd w:val="0"/>
      <w:snapToGrid w:val="0"/>
    </w:pPr>
    <w:rPr>
      <w:rFonts w:ascii="方正兰亭圆简体" w:eastAsia="方正兰亭圆简体" w:hAnsiTheme="minorHAnsi" w:cstheme="minorBidi"/>
      <w:kern w:val="2"/>
      <w:sz w:val="21"/>
      <w:szCs w:val="21"/>
      <w:lang w:val="en-US" w:eastAsia="zh-CN" w:bidi="ar-SA"/>
    </w:rPr>
  </w:style>
  <w:style w:type="character" w:customStyle="1" w:styleId="23">
    <w:name w:val="【摘要】标题样式"/>
    <w:qFormat/>
    <w:uiPriority w:val="0"/>
    <w:rPr>
      <w:rFonts w:ascii="Arial" w:hAnsi="Arial" w:eastAsia="方正兰亭圆简体"/>
      <w:b/>
      <w:bCs/>
      <w:color w:val="000000" w:themeColor="text1"/>
      <w:sz w:val="18"/>
      <w14:textFill>
        <w14:solidFill>
          <w14:schemeClr w14:val="tx1"/>
        </w14:solidFill>
      </w14:textFill>
    </w:rPr>
  </w:style>
  <w:style w:type="paragraph" w:customStyle="1" w:styleId="24">
    <w:name w:val="【分析师】标题样式"/>
    <w:basedOn w:val="22"/>
    <w:qFormat/>
    <w:uiPriority w:val="9"/>
    <w:rPr>
      <w:b/>
      <w:color w:val="D70C25"/>
      <w:sz w:val="18"/>
    </w:rPr>
  </w:style>
  <w:style w:type="paragraph" w:customStyle="1" w:styleId="25">
    <w:name w:val="【分析师】内容样式"/>
    <w:basedOn w:val="22"/>
    <w:qFormat/>
    <w:uiPriority w:val="10"/>
    <w:rPr>
      <w:rFonts w:ascii="Arial" w:hAnsi="Arial"/>
      <w:sz w:val="18"/>
    </w:rPr>
  </w:style>
  <w:style w:type="paragraph" w:customStyle="1" w:styleId="26">
    <w:name w:val="【正文】一级标题"/>
    <w:basedOn w:val="10"/>
    <w:next w:val="27"/>
    <w:qFormat/>
    <w:uiPriority w:val="2"/>
    <w:pPr>
      <w:numPr>
        <w:ilvl w:val="0"/>
        <w:numId w:val="1"/>
      </w:numPr>
      <w:spacing w:before="156" w:beforeLines="50" w:after="156" w:afterLines="50"/>
      <w:outlineLvl w:val="0"/>
    </w:pPr>
    <w:rPr>
      <w:b/>
      <w:color w:val="D70C25"/>
      <w:sz w:val="36"/>
    </w:rPr>
  </w:style>
  <w:style w:type="paragraph" w:customStyle="1" w:styleId="27">
    <w:name w:val="【正文】二级标题"/>
    <w:basedOn w:val="10"/>
    <w:next w:val="28"/>
    <w:qFormat/>
    <w:uiPriority w:val="3"/>
    <w:pPr>
      <w:numPr>
        <w:ilvl w:val="1"/>
        <w:numId w:val="1"/>
      </w:numPr>
      <w:spacing w:before="50" w:beforeLines="50" w:after="50" w:afterLines="50"/>
      <w:outlineLvl w:val="1"/>
    </w:pPr>
    <w:rPr>
      <w:b/>
      <w:color w:val="E10C25"/>
      <w:sz w:val="30"/>
    </w:rPr>
  </w:style>
  <w:style w:type="paragraph" w:customStyle="1" w:styleId="28">
    <w:name w:val="【正文】三级标题"/>
    <w:basedOn w:val="10"/>
    <w:next w:val="29"/>
    <w:qFormat/>
    <w:uiPriority w:val="4"/>
    <w:pPr>
      <w:numPr>
        <w:ilvl w:val="2"/>
        <w:numId w:val="1"/>
      </w:numPr>
      <w:spacing w:before="50" w:beforeLines="50" w:after="50" w:afterLines="50"/>
      <w:outlineLvl w:val="2"/>
    </w:pPr>
    <w:rPr>
      <w:b/>
      <w:color w:val="E10C25"/>
      <w:sz w:val="24"/>
    </w:rPr>
  </w:style>
  <w:style w:type="paragraph" w:customStyle="1" w:styleId="29">
    <w:name w:val="【正文】内容样式"/>
    <w:basedOn w:val="10"/>
    <w:qFormat/>
    <w:uiPriority w:val="5"/>
    <w:pPr>
      <w:spacing w:after="50" w:afterLines="50" w:line="400" w:lineRule="exact"/>
      <w:ind w:firstLine="200" w:firstLineChars="200"/>
    </w:pPr>
    <w:rPr>
      <w:rFonts w:eastAsia="思源黑体"/>
      <w:color w:val="000000" w:themeColor="text1"/>
      <w14:textFill>
        <w14:solidFill>
          <w14:schemeClr w14:val="tx1"/>
        </w14:solidFill>
      </w14:textFill>
    </w:rPr>
  </w:style>
  <w:style w:type="paragraph" w:customStyle="1" w:styleId="30">
    <w:name w:val="【正文】资料来源"/>
    <w:basedOn w:val="10"/>
    <w:qFormat/>
    <w:uiPriority w:val="8"/>
    <w:pPr>
      <w:widowControl w:val="0"/>
      <w:jc w:val="both"/>
    </w:pPr>
    <w:rPr>
      <w:color w:val="E10C25"/>
      <w:sz w:val="18"/>
      <w:szCs w:val="20"/>
    </w:rPr>
  </w:style>
  <w:style w:type="paragraph" w:customStyle="1" w:styleId="31">
    <w:name w:val="【正文】图标题"/>
    <w:basedOn w:val="10"/>
    <w:qFormat/>
    <w:uiPriority w:val="6"/>
    <w:pPr>
      <w:keepNext/>
      <w:widowControl w:val="0"/>
      <w:numPr>
        <w:ilvl w:val="0"/>
        <w:numId w:val="2"/>
      </w:numPr>
      <w:jc w:val="both"/>
    </w:pPr>
    <w:rPr>
      <w:b/>
      <w:bCs/>
      <w:color w:val="E10C25"/>
    </w:rPr>
  </w:style>
  <w:style w:type="paragraph" w:customStyle="1" w:styleId="32">
    <w:name w:val="【正文】表标题"/>
    <w:basedOn w:val="10"/>
    <w:qFormat/>
    <w:uiPriority w:val="7"/>
    <w:pPr>
      <w:keepNext/>
      <w:widowControl w:val="0"/>
      <w:numPr>
        <w:ilvl w:val="0"/>
        <w:numId w:val="3"/>
      </w:numPr>
      <w:jc w:val="both"/>
    </w:pPr>
    <w:rPr>
      <w:b/>
      <w:color w:val="E10C25"/>
      <w:szCs w:val="20"/>
    </w:rPr>
  </w:style>
  <w:style w:type="character" w:customStyle="1" w:styleId="33">
    <w:name w:val="标题 1 字符"/>
    <w:basedOn w:val="16"/>
    <w:link w:val="2"/>
    <w:semiHidden/>
    <w:qFormat/>
    <w:uiPriority w:val="9"/>
    <w:rPr>
      <w:b/>
      <w:bCs/>
      <w:kern w:val="44"/>
      <w:sz w:val="44"/>
      <w:szCs w:val="44"/>
    </w:rPr>
  </w:style>
  <w:style w:type="character" w:customStyle="1" w:styleId="34">
    <w:name w:val="标题 2 字符"/>
    <w:basedOn w:val="16"/>
    <w:link w:val="3"/>
    <w:semiHidden/>
    <w:qFormat/>
    <w:uiPriority w:val="9"/>
    <w:rPr>
      <w:rFonts w:asciiTheme="majorHAnsi" w:hAnsiTheme="majorHAnsi" w:eastAsiaTheme="majorEastAsia" w:cstheme="majorBidi"/>
      <w:b/>
      <w:bCs/>
      <w:sz w:val="32"/>
      <w:szCs w:val="32"/>
    </w:rPr>
  </w:style>
  <w:style w:type="character" w:customStyle="1" w:styleId="35">
    <w:name w:val="标题 3 字符"/>
    <w:basedOn w:val="16"/>
    <w:link w:val="4"/>
    <w:semiHidden/>
    <w:qFormat/>
    <w:uiPriority w:val="9"/>
    <w:rPr>
      <w:b/>
      <w:bCs/>
      <w:sz w:val="32"/>
      <w:szCs w:val="32"/>
    </w:rPr>
  </w:style>
  <w:style w:type="paragraph" w:customStyle="1" w:styleId="36">
    <w:name w:val="东海一级标题"/>
    <w:basedOn w:val="37"/>
    <w:qFormat/>
    <w:uiPriority w:val="0"/>
    <w:pPr>
      <w:widowControl/>
      <w:numPr>
        <w:ilvl w:val="0"/>
        <w:numId w:val="4"/>
      </w:numPr>
      <w:spacing w:beforeLines="50" w:afterLines="50" w:line="360" w:lineRule="auto"/>
      <w:ind w:left="1300" w:leftChars="1200" w:hanging="100" w:hangingChars="100"/>
      <w:outlineLvl w:val="0"/>
    </w:pPr>
    <w:rPr>
      <w:rFonts w:ascii="Arial" w:hAnsi="Arial" w:eastAsia="楷体_GB2312" w:cs="Times New Roman"/>
      <w:b/>
      <w:sz w:val="30"/>
      <w:szCs w:val="22"/>
    </w:rPr>
  </w:style>
  <w:style w:type="paragraph" w:styleId="37">
    <w:name w:val="List Paragraph"/>
    <w:basedOn w:val="1"/>
    <w:link w:val="42"/>
    <w:qFormat/>
    <w:uiPriority w:val="34"/>
    <w:pPr>
      <w:ind w:firstLine="420" w:firstLineChars="200"/>
    </w:pPr>
  </w:style>
  <w:style w:type="paragraph" w:customStyle="1" w:styleId="38">
    <w:name w:val="东海二级标题"/>
    <w:basedOn w:val="37"/>
    <w:qFormat/>
    <w:uiPriority w:val="0"/>
    <w:pPr>
      <w:widowControl/>
      <w:numPr>
        <w:ilvl w:val="1"/>
        <w:numId w:val="4"/>
      </w:numPr>
      <w:spacing w:beforeLines="50" w:afterLines="50" w:line="360" w:lineRule="auto"/>
      <w:ind w:left="1380" w:leftChars="1200" w:hanging="180" w:hangingChars="180"/>
      <w:outlineLvl w:val="1"/>
    </w:pPr>
    <w:rPr>
      <w:rFonts w:ascii="Arial" w:hAnsi="Arial" w:eastAsia="楷体_GB2312" w:cs="Times New Roman"/>
      <w:b/>
      <w:sz w:val="28"/>
      <w:szCs w:val="22"/>
    </w:rPr>
  </w:style>
  <w:style w:type="paragraph" w:customStyle="1" w:styleId="39">
    <w:name w:val="东海三级标题"/>
    <w:basedOn w:val="37"/>
    <w:link w:val="40"/>
    <w:qFormat/>
    <w:uiPriority w:val="0"/>
    <w:pPr>
      <w:widowControl/>
      <w:numPr>
        <w:ilvl w:val="2"/>
        <w:numId w:val="4"/>
      </w:numPr>
      <w:spacing w:beforeLines="50" w:afterLines="50" w:line="360" w:lineRule="auto"/>
      <w:ind w:left="1450" w:leftChars="1200" w:hanging="250" w:hangingChars="250"/>
      <w:outlineLvl w:val="2"/>
    </w:pPr>
    <w:rPr>
      <w:rFonts w:ascii="Arial" w:hAnsi="Arial" w:eastAsia="楷体_GB2312" w:cs="Times New Roman"/>
      <w:b/>
      <w:sz w:val="24"/>
      <w:szCs w:val="22"/>
    </w:rPr>
  </w:style>
  <w:style w:type="character" w:customStyle="1" w:styleId="40">
    <w:name w:val="东海三级标题 Char Char"/>
    <w:link w:val="39"/>
    <w:qFormat/>
    <w:uiPriority w:val="0"/>
    <w:rPr>
      <w:rFonts w:ascii="Arial" w:hAnsi="Arial" w:eastAsia="楷体_GB2312" w:cs="Times New Roman"/>
      <w:b/>
      <w:sz w:val="24"/>
      <w:szCs w:val="22"/>
    </w:rPr>
  </w:style>
  <w:style w:type="paragraph" w:customStyle="1" w:styleId="41">
    <w:name w:val="东海摘要标题"/>
    <w:basedOn w:val="37"/>
    <w:qFormat/>
    <w:uiPriority w:val="0"/>
    <w:pPr>
      <w:numPr>
        <w:ilvl w:val="0"/>
        <w:numId w:val="5"/>
      </w:numPr>
      <w:ind w:firstLine="0" w:firstLineChars="0"/>
    </w:pPr>
    <w:rPr>
      <w:rFonts w:ascii="Arial" w:hAnsi="Arial" w:eastAsia="楷体_GB2312" w:cs="Times New Roman"/>
      <w:b/>
      <w:szCs w:val="22"/>
    </w:rPr>
  </w:style>
  <w:style w:type="character" w:customStyle="1" w:styleId="42">
    <w:name w:val="列表段落 字符"/>
    <w:link w:val="37"/>
    <w:qFormat/>
    <w:uiPriority w:val="34"/>
  </w:style>
  <w:style w:type="character" w:customStyle="1" w:styleId="43">
    <w:name w:val="未处理的提及1"/>
    <w:basedOn w:val="16"/>
    <w:semiHidden/>
    <w:unhideWhenUsed/>
    <w:qFormat/>
    <w:uiPriority w:val="99"/>
    <w:rPr>
      <w:color w:val="605E5C"/>
      <w:shd w:val="clear" w:color="auto" w:fill="E1DFDD"/>
    </w:rPr>
  </w:style>
  <w:style w:type="table" w:customStyle="1" w:styleId="44">
    <w:name w:val="网格型1"/>
    <w:basedOn w:val="14"/>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2"/>
    <w:basedOn w:val="14"/>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未处理的提及2"/>
    <w:basedOn w:val="16"/>
    <w:semiHidden/>
    <w:unhideWhenUsed/>
    <w:qFormat/>
    <w:uiPriority w:val="99"/>
    <w:rPr>
      <w:color w:val="605E5C"/>
      <w:shd w:val="clear" w:color="auto" w:fill="E1DFDD"/>
    </w:rPr>
  </w:style>
  <w:style w:type="character" w:customStyle="1" w:styleId="47">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67566E-1C68-450F-A201-A8D71EE52FC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978</Words>
  <Characters>5577</Characters>
  <Lines>46</Lines>
  <Paragraphs>13</Paragraphs>
  <TotalTime>0</TotalTime>
  <ScaleCrop>false</ScaleCrop>
  <LinksUpToDate>false</LinksUpToDate>
  <CharactersWithSpaces>6542</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2025-04-24T02:18:00Z</dcterms:created>
  <dc:creator>919063741@qq.com</dc:creator>
  <cp:lastModifiedBy>Administrator</cp:lastModifiedBy>
  <cp:lastPrinted>2024-09-02T00:21:00Z</cp:lastPrinted>
  <dcterms:modified xsi:type="dcterms:W3CDTF">2025-10-09T05:34:52Z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dustryname">
    <vt:lpwstr>石油石化</vt:lpwstr>
  </property>
  <property fmtid="{D5CDD505-2E9C-101B-9397-08002B2CF9AE}" pid="3" name="columnname">
    <vt:lpwstr>行业研究</vt:lpwstr>
  </property>
  <property fmtid="{D5CDD505-2E9C-101B-9397-08002B2CF9AE}" pid="4" name="typename">
    <vt:lpwstr>行业周报</vt:lpwstr>
  </property>
  <property fmtid="{D5CDD505-2E9C-101B-9397-08002B2CF9AE}" pid="5" name="username">
    <vt:lpwstr>admin</vt:lpwstr>
  </property>
  <property fmtid="{D5CDD505-2E9C-101B-9397-08002B2CF9AE}" pid="6" name="scode">
    <vt:lpwstr>股票代码</vt:lpwstr>
  </property>
  <property fmtid="{D5CDD505-2E9C-101B-9397-08002B2CF9AE}" pid="7" name="sname">
    <vt:lpwstr>股票名称</vt:lpwstr>
  </property>
  <property fmtid="{D5CDD505-2E9C-101B-9397-08002B2CF9AE}" pid="8" name="finPrice">
    <vt:lpwstr>XX.XX</vt:lpwstr>
  </property>
  <property fmtid="{D5CDD505-2E9C-101B-9397-08002B2CF9AE}" pid="9" name="KSOProductBuildVer">
    <vt:lpwstr>2052-11.8.2.12085</vt:lpwstr>
  </property>
  <property fmtid="{D5CDD505-2E9C-101B-9397-08002B2CF9AE}" pid="10" name="ICV">
    <vt:lpwstr>CA3C8200A99F4EF2B9BAC90A82E33F78</vt:lpwstr>
  </property>
</Properties>
</file>