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sz w:val="28"/>
          <w:szCs w:val="28"/>
        </w:rPr>
        <w:t>郑州商品交易所临近交割月份套期保值持仓额度申请表</w:t>
      </w:r>
      <w:bookmarkEnd w:id="0"/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710"/>
        <w:gridCol w:w="1420"/>
        <w:gridCol w:w="1420"/>
        <w:gridCol w:w="71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会员名称</w:t>
            </w:r>
          </w:p>
        </w:tc>
        <w:tc>
          <w:tcPr>
            <w:tcW w:w="2130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会员号</w:t>
            </w:r>
          </w:p>
        </w:tc>
        <w:tc>
          <w:tcPr>
            <w:tcW w:w="2131" w:type="dxa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30" w:type="dxa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客户名称</w:t>
            </w:r>
          </w:p>
        </w:tc>
        <w:tc>
          <w:tcPr>
            <w:tcW w:w="2130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客户编码</w:t>
            </w:r>
          </w:p>
        </w:tc>
        <w:tc>
          <w:tcPr>
            <w:tcW w:w="2131" w:type="dxa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会员联系人</w:t>
            </w:r>
          </w:p>
        </w:tc>
        <w:tc>
          <w:tcPr>
            <w:tcW w:w="2130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131" w:type="dxa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客户联系人</w:t>
            </w:r>
          </w:p>
        </w:tc>
        <w:tc>
          <w:tcPr>
            <w:tcW w:w="2130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131" w:type="dxa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合约代码</w:t>
            </w:r>
          </w:p>
        </w:tc>
        <w:tc>
          <w:tcPr>
            <w:tcW w:w="2840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买/卖</w:t>
            </w:r>
          </w:p>
        </w:tc>
        <w:tc>
          <w:tcPr>
            <w:tcW w:w="2842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申请数量(手)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4260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</w:t>
            </w:r>
            <w:r>
              <w:rPr>
                <w:rFonts w:ascii="仿宋" w:hAnsi="仿宋" w:eastAsia="仿宋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，提交</w:t>
            </w:r>
            <w:r>
              <w:rPr>
                <w:rFonts w:ascii="仿宋" w:hAnsi="仿宋" w:eastAsia="仿宋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申请</w:t>
            </w:r>
            <w:r>
              <w:rPr>
                <w:rFonts w:ascii="仿宋" w:hAnsi="仿宋" w:eastAsia="仿宋"/>
                <w:sz w:val="24"/>
                <w:szCs w:val="24"/>
              </w:rPr>
              <w:t>材料真实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、有</w:t>
            </w:r>
            <w:r>
              <w:rPr>
                <w:rFonts w:ascii="仿宋" w:hAnsi="仿宋" w:eastAsia="仿宋"/>
                <w:sz w:val="24"/>
                <w:szCs w:val="24"/>
              </w:rPr>
              <w:t>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客户盖章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年    月    日</w:t>
            </w:r>
          </w:p>
        </w:tc>
        <w:tc>
          <w:tcPr>
            <w:tcW w:w="4262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  <w:r>
              <w:rPr>
                <w:rFonts w:ascii="仿宋" w:hAnsi="仿宋" w:eastAsia="仿宋"/>
                <w:sz w:val="24"/>
                <w:szCs w:val="24"/>
              </w:rPr>
              <w:t>审核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申请材料完整,</w:t>
            </w:r>
            <w:r>
              <w:rPr>
                <w:rFonts w:ascii="仿宋" w:hAnsi="仿宋" w:eastAsia="仿宋"/>
                <w:sz w:val="24"/>
                <w:szCs w:val="24"/>
              </w:rPr>
              <w:t>同意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申报。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会员盖章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年    月   日</w:t>
            </w:r>
          </w:p>
        </w:tc>
      </w:tr>
    </w:tbl>
    <w:p>
      <w:pPr>
        <w:pStyle w:val="21"/>
        <w:jc w:val="both"/>
        <w:rPr>
          <w:rFonts w:hAnsi="黑体"/>
          <w:b/>
          <w:color w:val="000000"/>
          <w:sz w:val="21"/>
          <w:szCs w:val="21"/>
        </w:rPr>
      </w:pPr>
      <w:r>
        <w:rPr>
          <w:rFonts w:hint="eastAsia" w:hAnsi="黑体"/>
          <w:b/>
          <w:color w:val="000000"/>
          <w:sz w:val="21"/>
          <w:szCs w:val="21"/>
        </w:rPr>
        <w:t>申请临近交割月份套期保值持仓额度须提供以下材料：</w:t>
      </w:r>
    </w:p>
    <w:p>
      <w:pPr>
        <w:pStyle w:val="22"/>
        <w:numPr>
          <w:ilvl w:val="0"/>
          <w:numId w:val="5"/>
        </w:numPr>
        <w:jc w:val="both"/>
        <w:rPr>
          <w:rFonts w:hAnsi="黑体"/>
          <w:sz w:val="21"/>
          <w:szCs w:val="21"/>
        </w:rPr>
      </w:pPr>
      <w:r>
        <w:rPr>
          <w:rFonts w:hint="eastAsia" w:hAnsi="黑体"/>
          <w:sz w:val="21"/>
          <w:szCs w:val="21"/>
        </w:rPr>
        <w:t>《郑州商品交易所临近交割月份套期保值持仓额度申请表》；</w:t>
      </w:r>
    </w:p>
    <w:p>
      <w:pPr>
        <w:pStyle w:val="22"/>
        <w:numPr>
          <w:ilvl w:val="0"/>
          <w:numId w:val="5"/>
        </w:numPr>
        <w:jc w:val="both"/>
        <w:rPr>
          <w:rFonts w:hAnsi="黑体"/>
          <w:sz w:val="21"/>
          <w:szCs w:val="21"/>
        </w:rPr>
      </w:pPr>
      <w:r>
        <w:rPr>
          <w:rFonts w:hint="eastAsia" w:hAnsi="黑体"/>
          <w:sz w:val="21"/>
          <w:szCs w:val="21"/>
        </w:rPr>
        <w:t>企业营业执照副本复印件（甲醇品种另需提供《危险化学品经营许可证》）；</w:t>
      </w:r>
    </w:p>
    <w:p>
      <w:pPr>
        <w:pStyle w:val="22"/>
        <w:numPr>
          <w:ilvl w:val="0"/>
          <w:numId w:val="5"/>
        </w:numPr>
        <w:jc w:val="both"/>
        <w:rPr>
          <w:rFonts w:hAnsi="黑体"/>
          <w:sz w:val="21"/>
          <w:szCs w:val="21"/>
        </w:rPr>
      </w:pPr>
      <w:r>
        <w:rPr>
          <w:rFonts w:hint="eastAsia" w:hAnsi="黑体"/>
          <w:sz w:val="21"/>
          <w:szCs w:val="21"/>
        </w:rPr>
        <w:t>企业现货经营情况（主要包括：申请品种上一年度现货经营规模、当年或者套期保值期间的现货经营计划等）；</w:t>
      </w:r>
    </w:p>
    <w:p>
      <w:pPr>
        <w:pStyle w:val="22"/>
        <w:numPr>
          <w:ilvl w:val="0"/>
          <w:numId w:val="5"/>
        </w:numPr>
        <w:jc w:val="both"/>
        <w:rPr>
          <w:rFonts w:hAnsi="黑体"/>
          <w:sz w:val="21"/>
          <w:szCs w:val="21"/>
        </w:rPr>
      </w:pPr>
      <w:r>
        <w:rPr>
          <w:rFonts w:hint="eastAsia" w:hAnsi="黑体"/>
          <w:sz w:val="21"/>
          <w:szCs w:val="21"/>
        </w:rPr>
        <w:t>企业套期保值交易方案（主要包括风险来源分析、保值目标、套保策略、预期交割或平仓的数量等）；</w:t>
      </w:r>
    </w:p>
    <w:p>
      <w:pPr>
        <w:pStyle w:val="22"/>
        <w:numPr>
          <w:ilvl w:val="0"/>
          <w:numId w:val="5"/>
        </w:numPr>
        <w:jc w:val="both"/>
        <w:rPr>
          <w:rFonts w:hAnsi="黑体"/>
          <w:sz w:val="21"/>
          <w:szCs w:val="21"/>
        </w:rPr>
      </w:pPr>
      <w:r>
        <w:rPr>
          <w:rFonts w:hint="eastAsia" w:hAnsi="黑体"/>
          <w:sz w:val="21"/>
          <w:szCs w:val="21"/>
        </w:rPr>
        <w:t>证明临近交割月份套期保值交易需求真实性的相关材料，如当年或者套期保值期间的现货经营计划、加工订单、购销合同、发票、仓单、库存证明、拥有实物的其他证明等，具体可以参考《郑商所套期保值业务操作指南》。</w:t>
      </w:r>
    </w:p>
    <w:p>
      <w:pPr>
        <w:pStyle w:val="22"/>
        <w:jc w:val="both"/>
        <w:rPr>
          <w:rFonts w:hAnsi="黑体"/>
          <w:b/>
          <w:sz w:val="21"/>
          <w:szCs w:val="21"/>
        </w:rPr>
      </w:pPr>
      <w:r>
        <w:rPr>
          <w:rFonts w:hint="eastAsia" w:hAnsi="黑体"/>
          <w:b/>
          <w:sz w:val="21"/>
          <w:szCs w:val="21"/>
        </w:rPr>
        <w:t>注意事项：</w:t>
      </w:r>
    </w:p>
    <w:p>
      <w:pPr>
        <w:pStyle w:val="22"/>
        <w:numPr>
          <w:ilvl w:val="3"/>
          <w:numId w:val="5"/>
        </w:numPr>
        <w:ind w:left="420"/>
        <w:jc w:val="both"/>
        <w:rPr>
          <w:rFonts w:hAnsi="黑体"/>
          <w:sz w:val="21"/>
          <w:szCs w:val="21"/>
        </w:rPr>
      </w:pPr>
      <w:r>
        <w:rPr>
          <w:rFonts w:hint="eastAsia" w:hAnsi="黑体"/>
          <w:sz w:val="21"/>
          <w:szCs w:val="21"/>
        </w:rPr>
        <w:t>以上申请材料中1、2、3、4、</w:t>
      </w:r>
      <w:r>
        <w:rPr>
          <w:rFonts w:hAnsi="黑体"/>
          <w:sz w:val="21"/>
          <w:szCs w:val="21"/>
        </w:rPr>
        <w:t>5</w:t>
      </w:r>
      <w:r>
        <w:rPr>
          <w:rFonts w:hint="eastAsia" w:hAnsi="黑体"/>
          <w:sz w:val="21"/>
          <w:szCs w:val="21"/>
        </w:rPr>
        <w:t>项经会员审核后在会员服务系统上传附件；第2项首次申请套期保值额度时上传到会员服务系统套期保值申请“上传营业执照或许可证”项下，如无变更下次申请时无需重复提交；除上述材料外，会员或者客户可以另附其他说明材料并上传，也可在会员服务系统套期保值申请“情况说明”一栏提交。</w:t>
      </w:r>
    </w:p>
    <w:p>
      <w:pPr>
        <w:pStyle w:val="22"/>
        <w:numPr>
          <w:ilvl w:val="3"/>
          <w:numId w:val="5"/>
        </w:numPr>
        <w:ind w:left="420"/>
        <w:jc w:val="both"/>
        <w:rPr>
          <w:rFonts w:hAnsi="黑体"/>
          <w:sz w:val="21"/>
          <w:szCs w:val="21"/>
        </w:rPr>
      </w:pPr>
      <w:r>
        <w:rPr>
          <w:rFonts w:hAnsi="黑体"/>
          <w:sz w:val="21"/>
          <w:szCs w:val="21"/>
        </w:rPr>
        <w:t>表格</w:t>
      </w:r>
      <w:r>
        <w:rPr>
          <w:rFonts w:hint="eastAsia" w:hAnsi="黑体"/>
          <w:sz w:val="21"/>
          <w:szCs w:val="21"/>
        </w:rPr>
        <w:t>需</w:t>
      </w:r>
      <w:r>
        <w:rPr>
          <w:rFonts w:hAnsi="黑体"/>
          <w:sz w:val="21"/>
          <w:szCs w:val="21"/>
        </w:rPr>
        <w:t>加盖客户及会员章</w:t>
      </w:r>
      <w:r>
        <w:rPr>
          <w:rFonts w:hint="eastAsia" w:hAnsi="黑体"/>
          <w:sz w:val="21"/>
          <w:szCs w:val="21"/>
        </w:rPr>
        <w:t>，客户章为单位公章；会员章为单位或营业部公章，如为其他业务章须向交易所提</w:t>
      </w:r>
      <w:r>
        <w:rPr>
          <w:rFonts w:hAnsi="黑体"/>
          <w:sz w:val="21"/>
          <w:szCs w:val="21"/>
        </w:rPr>
        <w:t>交</w:t>
      </w:r>
      <w:r>
        <w:rPr>
          <w:rFonts w:hint="eastAsia" w:hAnsi="黑体"/>
          <w:sz w:val="21"/>
          <w:szCs w:val="21"/>
        </w:rPr>
        <w:t>书</w:t>
      </w:r>
      <w:r>
        <w:rPr>
          <w:rFonts w:hAnsi="黑体"/>
          <w:sz w:val="21"/>
          <w:szCs w:val="21"/>
        </w:rPr>
        <w:t>面授权材料</w:t>
      </w:r>
      <w:r>
        <w:rPr>
          <w:rFonts w:hint="eastAsia" w:hAnsi="黑体"/>
          <w:sz w:val="21"/>
          <w:szCs w:val="21"/>
        </w:rPr>
        <w:t>。</w:t>
      </w:r>
    </w:p>
    <w:p>
      <w:pPr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  <w:szCs w:val="21"/>
        </w:rPr>
        <w:t>郑州商品交易所套保业务联系电话：</w:t>
      </w:r>
      <w:r>
        <w:rPr>
          <w:rFonts w:ascii="黑体" w:hAnsi="黑体" w:eastAsia="黑体"/>
          <w:szCs w:val="21"/>
        </w:rPr>
        <w:t>0371-</w:t>
      </w:r>
      <w:r>
        <w:rPr>
          <w:rFonts w:hint="eastAsia" w:ascii="黑体" w:hAnsi="黑体" w:eastAsia="黑体"/>
          <w:szCs w:val="21"/>
        </w:rPr>
        <w:t>65610985，</w:t>
      </w:r>
      <w:r>
        <w:rPr>
          <w:rFonts w:ascii="黑体" w:hAnsi="黑体" w:eastAsia="黑体"/>
          <w:szCs w:val="21"/>
        </w:rPr>
        <w:t>6561</w:t>
      </w:r>
      <w:r>
        <w:rPr>
          <w:rFonts w:hint="eastAsia" w:ascii="黑体" w:hAnsi="黑体" w:eastAsia="黑体"/>
          <w:szCs w:val="21"/>
        </w:rPr>
        <w:t xml:space="preserve">0806     </w:t>
      </w:r>
    </w:p>
    <w:p>
      <w:pPr>
        <w:rPr>
          <w:rFonts w:ascii="Times New Roman" w:hAnsi="Times New Roman" w:eastAsia="黑体"/>
        </w:rPr>
      </w:pPr>
      <w:r>
        <w:rPr>
          <w:rFonts w:hint="eastAsia" w:ascii="黑体" w:hAnsi="黑体" w:eastAsia="黑体"/>
        </w:rPr>
        <w:t xml:space="preserve">                          邮箱：</w:t>
      </w:r>
      <w:r>
        <w:fldChar w:fldCharType="begin"/>
      </w:r>
      <w:r>
        <w:instrText xml:space="preserve"> HYPERLINK "mailto:yangjing@czce.com.cn" </w:instrText>
      </w:r>
      <w:r>
        <w:fldChar w:fldCharType="separate"/>
      </w:r>
      <w:r>
        <w:rPr>
          <w:rStyle w:val="10"/>
          <w:rFonts w:hint="eastAsia" w:ascii="Times New Roman" w:hAnsi="Times New Roman" w:eastAsia="黑体"/>
        </w:rPr>
        <w:t>zcetqbz</w:t>
      </w:r>
      <w:r>
        <w:rPr>
          <w:rStyle w:val="10"/>
          <w:rFonts w:ascii="Times New Roman" w:hAnsi="Times New Roman" w:eastAsia="黑体"/>
        </w:rPr>
        <w:t>@czce.com.cn</w:t>
      </w:r>
      <w:r>
        <w:rPr>
          <w:rStyle w:val="10"/>
          <w:rFonts w:ascii="Times New Roman" w:hAnsi="Times New Roman" w:eastAsia="黑体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1B3FA"/>
    <w:multiLevelType w:val="singleLevel"/>
    <w:tmpl w:val="9CC1B3FA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CCA5DB4"/>
    <w:multiLevelType w:val="singleLevel"/>
    <w:tmpl w:val="ACCA5DB4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903568"/>
    <w:multiLevelType w:val="multilevel"/>
    <w:tmpl w:val="1390356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90BBAA"/>
    <w:multiLevelType w:val="singleLevel"/>
    <w:tmpl w:val="3290BBAA"/>
    <w:lvl w:ilvl="0" w:tentative="0">
      <w:start w:val="1"/>
      <w:numFmt w:val="decimal"/>
      <w:pStyle w:val="5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4B98FDEC"/>
    <w:multiLevelType w:val="singleLevel"/>
    <w:tmpl w:val="4B98FDEC"/>
    <w:lvl w:ilvl="0" w:tentative="0">
      <w:start w:val="1"/>
      <w:numFmt w:val="decimal"/>
      <w:pStyle w:val="6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365AE"/>
    <w:rsid w:val="01E91270"/>
    <w:rsid w:val="036C6672"/>
    <w:rsid w:val="057F6346"/>
    <w:rsid w:val="05ED36DB"/>
    <w:rsid w:val="06B20E4A"/>
    <w:rsid w:val="06BE3A10"/>
    <w:rsid w:val="07E7019D"/>
    <w:rsid w:val="09100DB3"/>
    <w:rsid w:val="09B7323B"/>
    <w:rsid w:val="0D5E2CB0"/>
    <w:rsid w:val="0E3F05AC"/>
    <w:rsid w:val="0E766E53"/>
    <w:rsid w:val="0F8209F8"/>
    <w:rsid w:val="11A5186E"/>
    <w:rsid w:val="13150445"/>
    <w:rsid w:val="135F2CD5"/>
    <w:rsid w:val="142A6CDF"/>
    <w:rsid w:val="168E1CCD"/>
    <w:rsid w:val="16A96443"/>
    <w:rsid w:val="18F10FCA"/>
    <w:rsid w:val="1AF25855"/>
    <w:rsid w:val="1BA16778"/>
    <w:rsid w:val="1E627801"/>
    <w:rsid w:val="1F3E0B37"/>
    <w:rsid w:val="22357D53"/>
    <w:rsid w:val="2275124A"/>
    <w:rsid w:val="22CF45F5"/>
    <w:rsid w:val="24224446"/>
    <w:rsid w:val="269D79A7"/>
    <w:rsid w:val="2A396063"/>
    <w:rsid w:val="2C6818D1"/>
    <w:rsid w:val="2D0C029C"/>
    <w:rsid w:val="2E4365AE"/>
    <w:rsid w:val="32FC010C"/>
    <w:rsid w:val="34424776"/>
    <w:rsid w:val="34E155DF"/>
    <w:rsid w:val="35E96FEC"/>
    <w:rsid w:val="3702737E"/>
    <w:rsid w:val="3803751C"/>
    <w:rsid w:val="39581A25"/>
    <w:rsid w:val="3997405A"/>
    <w:rsid w:val="39BE121E"/>
    <w:rsid w:val="3A4E75E6"/>
    <w:rsid w:val="3D6A439F"/>
    <w:rsid w:val="3E545A30"/>
    <w:rsid w:val="3F2851AC"/>
    <w:rsid w:val="3FBC3CC7"/>
    <w:rsid w:val="3FD21EAD"/>
    <w:rsid w:val="41652A16"/>
    <w:rsid w:val="42482CD1"/>
    <w:rsid w:val="430B0507"/>
    <w:rsid w:val="43D55905"/>
    <w:rsid w:val="44DD7C51"/>
    <w:rsid w:val="4C48555F"/>
    <w:rsid w:val="4DF96C38"/>
    <w:rsid w:val="4E627E00"/>
    <w:rsid w:val="4F8C6CAC"/>
    <w:rsid w:val="4F994F17"/>
    <w:rsid w:val="53622628"/>
    <w:rsid w:val="53721B3A"/>
    <w:rsid w:val="541A2D6B"/>
    <w:rsid w:val="54A84C61"/>
    <w:rsid w:val="55EA21B7"/>
    <w:rsid w:val="569742BE"/>
    <w:rsid w:val="598A1A57"/>
    <w:rsid w:val="59EF37F0"/>
    <w:rsid w:val="5AD03492"/>
    <w:rsid w:val="5BA04486"/>
    <w:rsid w:val="5CF276DB"/>
    <w:rsid w:val="5FAF3378"/>
    <w:rsid w:val="619B76A8"/>
    <w:rsid w:val="621A4C60"/>
    <w:rsid w:val="62786BF7"/>
    <w:rsid w:val="63684EF4"/>
    <w:rsid w:val="646B1D43"/>
    <w:rsid w:val="64D407CE"/>
    <w:rsid w:val="661F0579"/>
    <w:rsid w:val="68D4637D"/>
    <w:rsid w:val="6A0A5608"/>
    <w:rsid w:val="6A557020"/>
    <w:rsid w:val="6C2D758B"/>
    <w:rsid w:val="6C862B10"/>
    <w:rsid w:val="703800D5"/>
    <w:rsid w:val="733A79A9"/>
    <w:rsid w:val="776F646F"/>
    <w:rsid w:val="7B0D3E96"/>
    <w:rsid w:val="7E7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ind w:firstLine="0" w:firstLineChars="0"/>
      <w:jc w:val="center"/>
      <w:outlineLvl w:val="0"/>
    </w:pPr>
    <w:rPr>
      <w:rFonts w:ascii="Times New Roman" w:hAnsi="Times New Roman" w:eastAsia="宋体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numPr>
        <w:ilvl w:val="0"/>
        <w:numId w:val="1"/>
      </w:numPr>
      <w:spacing w:beforeAutospacing="0" w:afterAutospacing="0"/>
      <w:jc w:val="left"/>
      <w:outlineLvl w:val="1"/>
    </w:pPr>
    <w:rPr>
      <w:rFonts w:eastAsia="黑体" w:cs="宋体"/>
      <w:b/>
      <w:bCs/>
      <w:kern w:val="0"/>
      <w:szCs w:val="36"/>
      <w:lang w:bidi="ar"/>
    </w:rPr>
  </w:style>
  <w:style w:type="paragraph" w:styleId="4">
    <w:name w:val="heading 3"/>
    <w:basedOn w:val="3"/>
    <w:next w:val="1"/>
    <w:link w:val="17"/>
    <w:semiHidden/>
    <w:unhideWhenUsed/>
    <w:qFormat/>
    <w:uiPriority w:val="0"/>
    <w:pPr>
      <w:numPr>
        <w:numId w:val="2"/>
      </w:numPr>
      <w:ind w:firstLine="640"/>
      <w:outlineLvl w:val="2"/>
    </w:pPr>
    <w:rPr>
      <w:rFonts w:ascii="仿宋" w:hAnsi="仿宋" w:eastAsia="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ind w:firstLine="640" w:firstLineChars="200"/>
      <w:jc w:val="both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beforeLines="0" w:beforeAutospacing="0" w:afterLines="0" w:afterAutospacing="0" w:line="240" w:lineRule="auto"/>
      <w:outlineLvl w:val="4"/>
    </w:pPr>
    <w:rPr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note text"/>
    <w:basedOn w:val="1"/>
    <w:qFormat/>
    <w:uiPriority w:val="0"/>
    <w:pPr>
      <w:wordWrap w:val="0"/>
      <w:snapToGrid w:val="0"/>
      <w:jc w:val="left"/>
    </w:pPr>
    <w:rPr>
      <w:rFonts w:ascii="仿宋" w:hAnsi="仿宋" w:eastAsia="仿宋"/>
      <w:sz w:val="18"/>
    </w:r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paragraph" w:customStyle="1" w:styleId="11">
    <w:name w:val="翻译标题1"/>
    <w:basedOn w:val="1"/>
    <w:qFormat/>
    <w:uiPriority w:val="0"/>
    <w:pPr>
      <w:spacing w:before="200" w:after="300"/>
      <w:jc w:val="center"/>
      <w:outlineLvl w:val="0"/>
    </w:pPr>
    <w:rPr>
      <w:rFonts w:ascii="Times New Roman" w:hAnsi="Times New Roman" w:eastAsia="黑体"/>
      <w:b/>
      <w:bCs/>
      <w:sz w:val="44"/>
    </w:rPr>
  </w:style>
  <w:style w:type="paragraph" w:customStyle="1" w:styleId="12">
    <w:name w:val="翻译编号"/>
    <w:basedOn w:val="1"/>
    <w:qFormat/>
    <w:uiPriority w:val="0"/>
    <w:pPr>
      <w:jc w:val="left"/>
    </w:pPr>
    <w:rPr>
      <w:rFonts w:ascii="楷体_GB2312" w:hAnsi="楷体_GB2312" w:eastAsia="楷体_GB2312" w:cs="楷体_GB2312"/>
      <w:sz w:val="32"/>
    </w:rPr>
  </w:style>
  <w:style w:type="paragraph" w:customStyle="1" w:styleId="13">
    <w:name w:val="翻译标题2"/>
    <w:basedOn w:val="1"/>
    <w:qFormat/>
    <w:uiPriority w:val="0"/>
    <w:pPr>
      <w:spacing w:line="360" w:lineRule="auto"/>
      <w:jc w:val="center"/>
      <w:outlineLvl w:val="1"/>
    </w:pPr>
    <w:rPr>
      <w:rFonts w:ascii="Times New Roman" w:hAnsi="Times New Roman" w:eastAsia="黑体"/>
      <w:sz w:val="44"/>
    </w:rPr>
  </w:style>
  <w:style w:type="paragraph" w:customStyle="1" w:styleId="14">
    <w:name w:val="翻译正文"/>
    <w:basedOn w:val="1"/>
    <w:qFormat/>
    <w:uiPriority w:val="0"/>
    <w:pPr>
      <w:spacing w:line="360" w:lineRule="auto"/>
      <w:ind w:firstLine="883" w:firstLineChars="200"/>
    </w:pPr>
    <w:rPr>
      <w:rFonts w:ascii="仿宋" w:hAnsi="仿宋" w:eastAsia="仿宋"/>
      <w:sz w:val="32"/>
    </w:rPr>
  </w:style>
  <w:style w:type="paragraph" w:customStyle="1" w:styleId="15">
    <w:name w:val="翻译标题3"/>
    <w:basedOn w:val="14"/>
    <w:qFormat/>
    <w:uiPriority w:val="0"/>
    <w:pPr>
      <w:ind w:firstLine="0" w:firstLineChars="0"/>
    </w:pPr>
    <w:rPr>
      <w:rFonts w:eastAsia="黑体"/>
    </w:rPr>
  </w:style>
  <w:style w:type="character" w:customStyle="1" w:styleId="16">
    <w:name w:val="标题 2 字符"/>
    <w:basedOn w:val="9"/>
    <w:link w:val="3"/>
    <w:semiHidden/>
    <w:qFormat/>
    <w:uiPriority w:val="9"/>
    <w:rPr>
      <w:rFonts w:hint="default" w:ascii="Times New Roman" w:hAnsi="Times New Roman" w:eastAsia="黑体" w:cstheme="minorBidi"/>
      <w:bCs/>
      <w:sz w:val="32"/>
      <w:szCs w:val="22"/>
    </w:rPr>
  </w:style>
  <w:style w:type="character" w:customStyle="1" w:styleId="17">
    <w:name w:val="标题 3 字符"/>
    <w:basedOn w:val="9"/>
    <w:link w:val="4"/>
    <w:semiHidden/>
    <w:qFormat/>
    <w:uiPriority w:val="9"/>
    <w:rPr>
      <w:rFonts w:ascii="仿宋" w:hAnsi="仿宋" w:eastAsia="楷体" w:cs="Times New Roman"/>
      <w:bCs/>
      <w:sz w:val="32"/>
      <w:szCs w:val="28"/>
    </w:rPr>
  </w:style>
  <w:style w:type="paragraph" w:customStyle="1" w:styleId="18">
    <w:name w:val="编号"/>
    <w:basedOn w:val="11"/>
    <w:qFormat/>
    <w:uiPriority w:val="0"/>
    <w:pPr>
      <w:jc w:val="left"/>
      <w:outlineLvl w:val="9"/>
    </w:pPr>
    <w:rPr>
      <w:rFonts w:ascii="楷体_GB2312" w:hAnsi="楷体_GB2312" w:eastAsia="楷体_GB2312" w:cstheme="minorBidi"/>
      <w:b w:val="0"/>
      <w:sz w:val="32"/>
      <w:szCs w:val="24"/>
    </w:rPr>
  </w:style>
  <w:style w:type="character" w:customStyle="1" w:styleId="19">
    <w:name w:val="标题 1 Char"/>
    <w:basedOn w:val="9"/>
    <w:link w:val="2"/>
    <w:qFormat/>
    <w:uiPriority w:val="9"/>
    <w:rPr>
      <w:rFonts w:ascii="Times New Roman" w:hAnsi="Times New Roman" w:eastAsia="宋体" w:cstheme="minorBidi"/>
      <w:b/>
      <w:bCs/>
      <w:kern w:val="44"/>
      <w:sz w:val="44"/>
      <w:szCs w:val="44"/>
    </w:rPr>
  </w:style>
  <w:style w:type="paragraph" w:customStyle="1" w:styleId="20">
    <w:name w:val="表格正文"/>
    <w:basedOn w:val="1"/>
    <w:qFormat/>
    <w:uiPriority w:val="0"/>
    <w:pPr>
      <w:ind w:firstLine="0" w:firstLineChars="0"/>
      <w:jc w:val="center"/>
    </w:pPr>
    <w:rPr>
      <w:rFonts w:hint="eastAsia"/>
      <w:sz w:val="28"/>
    </w:rPr>
  </w:style>
  <w:style w:type="paragraph" w:customStyle="1" w:styleId="21">
    <w:name w:val="无间隔1"/>
    <w:basedOn w:val="22"/>
    <w:next w:val="22"/>
    <w:qFormat/>
    <w:uiPriority w:val="99"/>
    <w:rPr>
      <w:color w:val="auto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2021-04-21T03:14:00Z</dcterms:created>
  <dc:creator>杨睿</dc:creator>
  <cp:lastModifiedBy>杨睿</cp:lastModifiedBy>
  <dcterms:modified xsi:type="dcterms:W3CDTF">2021-04-21T03:17:27Z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4DEA7587C3024EA38E6BE5BD51C412B6</vt:lpwstr>
  </property>
</Properties>
</file>