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0"/>
        <w:rPr>
          <w:rFonts w:ascii="Times New Roman" w:hAnsi="Times New Roman" w:eastAsia="黑体"/>
          <w:b/>
          <w:sz w:val="44"/>
          <w:szCs w:val="44"/>
        </w:rPr>
      </w:pPr>
      <w:bookmarkStart w:id="0" w:name="_GoBack"/>
      <w:bookmarkEnd w:id="0"/>
      <w:r>
        <w:rPr>
          <w:rFonts w:hint="eastAsia" w:ascii="Times New Roman" w:hAnsi="Times New Roman" w:eastAsia="黑体"/>
          <w:b/>
          <w:sz w:val="44"/>
          <w:szCs w:val="44"/>
          <w:lang w:val="en-US" w:eastAsia="zh-CN"/>
        </w:rPr>
        <w:t>广州期货</w:t>
      </w:r>
      <w:r>
        <w:rPr>
          <w:rFonts w:hint="eastAsia" w:ascii="Times New Roman" w:hAnsi="Times New Roman" w:eastAsia="黑体"/>
          <w:b/>
          <w:sz w:val="44"/>
          <w:szCs w:val="44"/>
        </w:rPr>
        <w:t>交易所套期保值建仓需求额度申请表</w:t>
      </w:r>
    </w:p>
    <w:p>
      <w:pPr>
        <w:spacing w:line="240" w:lineRule="atLeast"/>
        <w:jc w:val="center"/>
        <w:outlineLvl w:val="0"/>
        <w:rPr>
          <w:rFonts w:ascii="Times New Roman" w:hAnsi="Times New Roman" w:eastAsia="黑体"/>
          <w:b/>
          <w:sz w:val="44"/>
          <w:szCs w:val="44"/>
        </w:rPr>
      </w:pPr>
      <w:r>
        <w:rPr>
          <w:rFonts w:hint="eastAsia" w:ascii="Times New Roman" w:hAnsi="Times New Roman" w:eastAsia="黑体"/>
          <w:b/>
          <w:sz w:val="44"/>
          <w:szCs w:val="44"/>
        </w:rPr>
        <w:t>（仅供会员单位参考）</w:t>
      </w:r>
    </w:p>
    <w:p>
      <w:pPr>
        <w:spacing w:line="0" w:lineRule="atLeast"/>
        <w:ind w:left="-111" w:leftChars="-53"/>
        <w:rPr>
          <w:rFonts w:hint="eastAsia" w:ascii="Times New Roman" w:hAnsi="Times New Roman" w:eastAsia="楷体_GB2312"/>
          <w:sz w:val="24"/>
          <w:szCs w:val="24"/>
        </w:rPr>
      </w:pPr>
    </w:p>
    <w:p>
      <w:pPr>
        <w:spacing w:line="0" w:lineRule="atLeast"/>
        <w:ind w:left="-111" w:leftChars="-53"/>
        <w:rPr>
          <w:rFonts w:ascii="Times New Roman" w:hAnsi="Times New Roman" w:eastAsia="楷体_GB2312"/>
          <w:sz w:val="24"/>
          <w:szCs w:val="24"/>
        </w:rPr>
      </w:pPr>
      <w:r>
        <w:rPr>
          <w:rFonts w:hint="eastAsia" w:ascii="Times New Roman" w:hAnsi="Times New Roman" w:eastAsia="楷体_GB2312"/>
          <w:sz w:val="24"/>
          <w:szCs w:val="24"/>
        </w:rPr>
        <w:t>填写日期：</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191"/>
        <w:gridCol w:w="1344"/>
        <w:gridCol w:w="3138"/>
        <w:gridCol w:w="1639"/>
        <w:gridCol w:w="1641"/>
        <w:gridCol w:w="180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2" w:type="pct"/>
            <w:vAlign w:val="center"/>
          </w:tcPr>
          <w:p>
            <w:pPr>
              <w:spacing w:line="0" w:lineRule="atLeast"/>
              <w:jc w:val="center"/>
              <w:rPr>
                <w:rFonts w:ascii="Times New Roman" w:hAnsi="Times New Roman" w:eastAsia="楷体_GB2312"/>
                <w:sz w:val="24"/>
                <w:szCs w:val="24"/>
              </w:rPr>
            </w:pPr>
            <w:r>
              <w:rPr>
                <w:rFonts w:hint="eastAsia" w:ascii="Times New Roman" w:hAnsi="Times New Roman" w:eastAsia="楷体_GB2312"/>
                <w:sz w:val="24"/>
                <w:szCs w:val="24"/>
              </w:rPr>
              <w:t>客户号</w:t>
            </w:r>
          </w:p>
        </w:tc>
        <w:tc>
          <w:tcPr>
            <w:tcW w:w="420" w:type="pct"/>
            <w:vAlign w:val="center"/>
          </w:tcPr>
          <w:p>
            <w:pPr>
              <w:spacing w:line="0" w:lineRule="atLeast"/>
              <w:jc w:val="center"/>
              <w:rPr>
                <w:rFonts w:ascii="Times New Roman" w:hAnsi="Times New Roman" w:eastAsia="楷体_GB2312"/>
                <w:sz w:val="24"/>
                <w:szCs w:val="24"/>
              </w:rPr>
            </w:pPr>
          </w:p>
        </w:tc>
        <w:tc>
          <w:tcPr>
            <w:tcW w:w="474" w:type="pct"/>
            <w:vAlign w:val="center"/>
          </w:tcPr>
          <w:p>
            <w:pPr>
              <w:spacing w:line="0" w:lineRule="atLeast"/>
              <w:jc w:val="center"/>
              <w:rPr>
                <w:rFonts w:ascii="Times New Roman" w:hAnsi="Times New Roman" w:eastAsia="楷体_GB2312"/>
                <w:sz w:val="24"/>
                <w:szCs w:val="24"/>
              </w:rPr>
            </w:pPr>
            <w:r>
              <w:rPr>
                <w:rFonts w:hint="eastAsia" w:ascii="Times New Roman" w:hAnsi="Times New Roman" w:eastAsia="楷体_GB2312"/>
                <w:sz w:val="24"/>
                <w:szCs w:val="24"/>
              </w:rPr>
              <w:t>客户名称</w:t>
            </w:r>
          </w:p>
        </w:tc>
        <w:tc>
          <w:tcPr>
            <w:tcW w:w="1106" w:type="pct"/>
            <w:vAlign w:val="center"/>
          </w:tcPr>
          <w:p>
            <w:pPr>
              <w:spacing w:line="0" w:lineRule="atLeast"/>
              <w:jc w:val="center"/>
              <w:rPr>
                <w:rFonts w:ascii="Times New Roman" w:hAnsi="Times New Roman" w:eastAsia="楷体_GB2312"/>
                <w:sz w:val="24"/>
                <w:szCs w:val="24"/>
              </w:rPr>
            </w:pPr>
          </w:p>
        </w:tc>
        <w:tc>
          <w:tcPr>
            <w:tcW w:w="578" w:type="pct"/>
            <w:vAlign w:val="center"/>
          </w:tcPr>
          <w:p>
            <w:pPr>
              <w:spacing w:line="0" w:lineRule="atLeast"/>
              <w:jc w:val="center"/>
              <w:rPr>
                <w:rFonts w:ascii="Times New Roman" w:hAnsi="Times New Roman" w:eastAsia="楷体_GB2312"/>
                <w:sz w:val="24"/>
                <w:szCs w:val="24"/>
              </w:rPr>
            </w:pPr>
            <w:r>
              <w:rPr>
                <w:rFonts w:hint="eastAsia" w:ascii="Times New Roman" w:hAnsi="Times New Roman" w:eastAsia="楷体_GB2312"/>
                <w:sz w:val="24"/>
                <w:szCs w:val="24"/>
              </w:rPr>
              <w:t>客户联系人</w:t>
            </w:r>
          </w:p>
        </w:tc>
        <w:tc>
          <w:tcPr>
            <w:tcW w:w="578" w:type="pct"/>
            <w:vAlign w:val="center"/>
          </w:tcPr>
          <w:p>
            <w:pPr>
              <w:spacing w:line="0" w:lineRule="atLeast"/>
              <w:jc w:val="center"/>
              <w:rPr>
                <w:rFonts w:ascii="Times New Roman" w:hAnsi="Times New Roman" w:eastAsia="楷体_GB2312"/>
                <w:sz w:val="24"/>
                <w:szCs w:val="24"/>
              </w:rPr>
            </w:pPr>
          </w:p>
        </w:tc>
        <w:tc>
          <w:tcPr>
            <w:tcW w:w="637" w:type="pct"/>
            <w:vAlign w:val="center"/>
          </w:tcPr>
          <w:p>
            <w:pPr>
              <w:spacing w:line="0" w:lineRule="atLeast"/>
              <w:jc w:val="center"/>
              <w:rPr>
                <w:rFonts w:ascii="Times New Roman" w:hAnsi="Times New Roman" w:eastAsia="楷体_GB2312"/>
                <w:sz w:val="24"/>
                <w:szCs w:val="24"/>
              </w:rPr>
            </w:pPr>
            <w:r>
              <w:rPr>
                <w:rFonts w:hint="eastAsia" w:ascii="Times New Roman" w:hAnsi="Times New Roman" w:eastAsia="楷体_GB2312"/>
                <w:sz w:val="24"/>
                <w:szCs w:val="24"/>
              </w:rPr>
              <w:t>客户联系电话</w:t>
            </w:r>
          </w:p>
        </w:tc>
        <w:tc>
          <w:tcPr>
            <w:tcW w:w="741" w:type="pct"/>
            <w:vAlign w:val="center"/>
          </w:tcPr>
          <w:p>
            <w:pPr>
              <w:spacing w:line="0" w:lineRule="atLeast"/>
              <w:ind w:right="-130"/>
              <w:jc w:val="center"/>
              <w:rPr>
                <w:rFonts w:ascii="Times New Roman" w:hAnsi="Times New Roman"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462" w:type="pct"/>
            <w:vAlign w:val="center"/>
          </w:tcPr>
          <w:p>
            <w:pPr>
              <w:spacing w:line="0" w:lineRule="atLeast"/>
              <w:jc w:val="center"/>
              <w:rPr>
                <w:rFonts w:ascii="Times New Roman" w:hAnsi="Times New Roman" w:eastAsia="楷体_GB2312"/>
                <w:sz w:val="24"/>
                <w:szCs w:val="24"/>
              </w:rPr>
            </w:pPr>
            <w:r>
              <w:rPr>
                <w:rFonts w:hint="eastAsia" w:ascii="Times New Roman" w:hAnsi="Times New Roman" w:eastAsia="楷体_GB2312"/>
                <w:sz w:val="24"/>
                <w:szCs w:val="24"/>
              </w:rPr>
              <w:t>会员号</w:t>
            </w:r>
          </w:p>
        </w:tc>
        <w:tc>
          <w:tcPr>
            <w:tcW w:w="420" w:type="pct"/>
            <w:vAlign w:val="center"/>
          </w:tcPr>
          <w:p>
            <w:pPr>
              <w:spacing w:line="0" w:lineRule="atLeast"/>
              <w:jc w:val="center"/>
              <w:rPr>
                <w:rFonts w:ascii="Times New Roman" w:hAnsi="Times New Roman" w:eastAsia="楷体_GB2312"/>
                <w:sz w:val="24"/>
                <w:szCs w:val="24"/>
              </w:rPr>
            </w:pPr>
          </w:p>
        </w:tc>
        <w:tc>
          <w:tcPr>
            <w:tcW w:w="474" w:type="pct"/>
            <w:vAlign w:val="center"/>
          </w:tcPr>
          <w:p>
            <w:pPr>
              <w:spacing w:line="0" w:lineRule="atLeast"/>
              <w:jc w:val="center"/>
              <w:rPr>
                <w:rFonts w:ascii="Times New Roman" w:hAnsi="Times New Roman" w:eastAsia="楷体_GB2312"/>
                <w:sz w:val="24"/>
                <w:szCs w:val="24"/>
              </w:rPr>
            </w:pPr>
            <w:r>
              <w:rPr>
                <w:rFonts w:hint="eastAsia" w:ascii="Times New Roman" w:hAnsi="Times New Roman" w:eastAsia="楷体_GB2312"/>
                <w:sz w:val="24"/>
                <w:szCs w:val="24"/>
              </w:rPr>
              <w:t>会员名称</w:t>
            </w:r>
          </w:p>
        </w:tc>
        <w:tc>
          <w:tcPr>
            <w:tcW w:w="1106" w:type="pct"/>
            <w:vAlign w:val="center"/>
          </w:tcPr>
          <w:p>
            <w:pPr>
              <w:spacing w:line="0" w:lineRule="atLeast"/>
              <w:jc w:val="center"/>
              <w:rPr>
                <w:rFonts w:ascii="Times New Roman" w:hAnsi="Times New Roman" w:eastAsia="楷体_GB2312"/>
                <w:sz w:val="24"/>
                <w:szCs w:val="24"/>
              </w:rPr>
            </w:pPr>
          </w:p>
        </w:tc>
        <w:tc>
          <w:tcPr>
            <w:tcW w:w="578" w:type="pct"/>
            <w:vAlign w:val="center"/>
          </w:tcPr>
          <w:p>
            <w:pPr>
              <w:spacing w:line="0" w:lineRule="atLeast"/>
              <w:jc w:val="center"/>
              <w:rPr>
                <w:rFonts w:ascii="Times New Roman" w:hAnsi="Times New Roman" w:eastAsia="楷体_GB2312"/>
                <w:sz w:val="24"/>
                <w:szCs w:val="24"/>
              </w:rPr>
            </w:pPr>
            <w:r>
              <w:rPr>
                <w:rFonts w:hint="eastAsia" w:ascii="Times New Roman" w:hAnsi="Times New Roman" w:eastAsia="楷体_GB2312"/>
                <w:sz w:val="24"/>
                <w:szCs w:val="24"/>
              </w:rPr>
              <w:t>会员联系人</w:t>
            </w:r>
          </w:p>
        </w:tc>
        <w:tc>
          <w:tcPr>
            <w:tcW w:w="578" w:type="pct"/>
            <w:vAlign w:val="center"/>
          </w:tcPr>
          <w:p>
            <w:pPr>
              <w:spacing w:line="0" w:lineRule="atLeast"/>
              <w:jc w:val="center"/>
              <w:rPr>
                <w:rFonts w:ascii="Times New Roman" w:hAnsi="Times New Roman" w:eastAsia="楷体_GB2312"/>
                <w:sz w:val="24"/>
                <w:szCs w:val="24"/>
              </w:rPr>
            </w:pPr>
          </w:p>
        </w:tc>
        <w:tc>
          <w:tcPr>
            <w:tcW w:w="637" w:type="pct"/>
            <w:vAlign w:val="center"/>
          </w:tcPr>
          <w:p>
            <w:pPr>
              <w:spacing w:line="0" w:lineRule="atLeast"/>
              <w:jc w:val="center"/>
              <w:rPr>
                <w:rFonts w:ascii="Times New Roman" w:hAnsi="Times New Roman" w:eastAsia="楷体_GB2312"/>
                <w:sz w:val="24"/>
                <w:szCs w:val="24"/>
              </w:rPr>
            </w:pPr>
            <w:r>
              <w:rPr>
                <w:rFonts w:hint="eastAsia" w:ascii="Times New Roman" w:hAnsi="Times New Roman" w:eastAsia="楷体_GB2312"/>
                <w:sz w:val="24"/>
                <w:szCs w:val="24"/>
              </w:rPr>
              <w:t>会员联系电话</w:t>
            </w:r>
          </w:p>
        </w:tc>
        <w:tc>
          <w:tcPr>
            <w:tcW w:w="741" w:type="pct"/>
            <w:vAlign w:val="center"/>
          </w:tcPr>
          <w:p>
            <w:pPr>
              <w:spacing w:line="0" w:lineRule="atLeast"/>
              <w:jc w:val="center"/>
              <w:rPr>
                <w:rFonts w:ascii="Times New Roman" w:hAnsi="Times New Roman"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82" w:type="pct"/>
            <w:gridSpan w:val="2"/>
            <w:vAlign w:val="center"/>
          </w:tcPr>
          <w:p>
            <w:pPr>
              <w:spacing w:line="0" w:lineRule="atLeast"/>
              <w:jc w:val="center"/>
              <w:rPr>
                <w:rFonts w:ascii="Times New Roman" w:hAnsi="Times New Roman" w:eastAsia="楷体_GB2312"/>
                <w:sz w:val="24"/>
                <w:szCs w:val="24"/>
              </w:rPr>
            </w:pPr>
            <w:r>
              <w:rPr>
                <w:rFonts w:ascii="Times New Roman" w:hAnsi="Times New Roman" w:eastAsia="楷体_GB2312"/>
                <w:sz w:val="24"/>
                <w:szCs w:val="24"/>
              </w:rPr>
              <w:t>合约</w:t>
            </w:r>
          </w:p>
        </w:tc>
        <w:tc>
          <w:tcPr>
            <w:tcW w:w="1581" w:type="pct"/>
            <w:gridSpan w:val="2"/>
            <w:vAlign w:val="center"/>
          </w:tcPr>
          <w:p>
            <w:pPr>
              <w:spacing w:line="0" w:lineRule="atLeast"/>
              <w:jc w:val="center"/>
              <w:rPr>
                <w:rFonts w:ascii="Times New Roman" w:hAnsi="Times New Roman" w:eastAsia="楷体_GB2312"/>
                <w:sz w:val="24"/>
                <w:szCs w:val="24"/>
              </w:rPr>
            </w:pPr>
            <w:r>
              <w:rPr>
                <w:rFonts w:hint="eastAsia" w:ascii="Times New Roman" w:hAnsi="Times New Roman" w:eastAsia="楷体_GB2312"/>
                <w:sz w:val="24"/>
                <w:szCs w:val="24"/>
              </w:rPr>
              <w:t>套期保值类型</w:t>
            </w:r>
          </w:p>
        </w:tc>
        <w:tc>
          <w:tcPr>
            <w:tcW w:w="1157" w:type="pct"/>
            <w:gridSpan w:val="2"/>
            <w:vAlign w:val="center"/>
          </w:tcPr>
          <w:p>
            <w:pPr>
              <w:spacing w:line="0" w:lineRule="atLeast"/>
              <w:jc w:val="center"/>
              <w:rPr>
                <w:rFonts w:ascii="Times New Roman" w:hAnsi="Times New Roman" w:eastAsia="楷体_GB2312"/>
                <w:sz w:val="24"/>
                <w:szCs w:val="24"/>
              </w:rPr>
            </w:pPr>
            <w:r>
              <w:rPr>
                <w:rFonts w:ascii="Times New Roman" w:hAnsi="Times New Roman" w:eastAsia="楷体_GB2312"/>
                <w:sz w:val="24"/>
                <w:szCs w:val="24"/>
              </w:rPr>
              <w:t>买/卖方向</w:t>
            </w:r>
          </w:p>
        </w:tc>
        <w:tc>
          <w:tcPr>
            <w:tcW w:w="1378" w:type="pct"/>
            <w:gridSpan w:val="2"/>
            <w:vAlign w:val="center"/>
          </w:tcPr>
          <w:p>
            <w:pPr>
              <w:spacing w:line="0" w:lineRule="atLeast"/>
              <w:jc w:val="center"/>
              <w:rPr>
                <w:rFonts w:ascii="Times New Roman" w:hAnsi="Times New Roman" w:eastAsia="楷体_GB2312"/>
                <w:sz w:val="24"/>
                <w:szCs w:val="24"/>
              </w:rPr>
            </w:pPr>
            <w:r>
              <w:rPr>
                <w:rFonts w:ascii="Times New Roman" w:hAnsi="Times New Roman" w:eastAsia="楷体_GB2312"/>
                <w:sz w:val="24"/>
                <w:szCs w:val="24"/>
              </w:rPr>
              <w:t>套期保值建仓需求额度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82" w:type="pct"/>
            <w:gridSpan w:val="2"/>
            <w:vAlign w:val="center"/>
          </w:tcPr>
          <w:p>
            <w:pPr>
              <w:spacing w:line="0" w:lineRule="atLeast"/>
              <w:jc w:val="center"/>
              <w:rPr>
                <w:rFonts w:ascii="Times New Roman" w:hAnsi="Times New Roman" w:eastAsia="楷体_GB2312"/>
                <w:sz w:val="24"/>
                <w:szCs w:val="24"/>
              </w:rPr>
            </w:pPr>
          </w:p>
        </w:tc>
        <w:tc>
          <w:tcPr>
            <w:tcW w:w="1581" w:type="pct"/>
            <w:gridSpan w:val="2"/>
            <w:vAlign w:val="center"/>
          </w:tcPr>
          <w:p>
            <w:pPr>
              <w:spacing w:line="0" w:lineRule="atLeast"/>
              <w:jc w:val="center"/>
              <w:rPr>
                <w:rFonts w:ascii="Times New Roman" w:hAnsi="Times New Roman" w:eastAsia="楷体_GB2312"/>
                <w:sz w:val="24"/>
                <w:szCs w:val="24"/>
              </w:rPr>
            </w:pPr>
          </w:p>
        </w:tc>
        <w:tc>
          <w:tcPr>
            <w:tcW w:w="1157" w:type="pct"/>
            <w:gridSpan w:val="2"/>
            <w:vAlign w:val="center"/>
          </w:tcPr>
          <w:p>
            <w:pPr>
              <w:spacing w:line="0" w:lineRule="atLeast"/>
              <w:jc w:val="center"/>
              <w:rPr>
                <w:rFonts w:ascii="Times New Roman" w:hAnsi="Times New Roman" w:eastAsia="楷体_GB2312"/>
                <w:sz w:val="24"/>
                <w:szCs w:val="24"/>
              </w:rPr>
            </w:pPr>
          </w:p>
        </w:tc>
        <w:tc>
          <w:tcPr>
            <w:tcW w:w="1378" w:type="pct"/>
            <w:gridSpan w:val="2"/>
            <w:vAlign w:val="center"/>
          </w:tcPr>
          <w:p>
            <w:pPr>
              <w:spacing w:line="0" w:lineRule="atLeast"/>
              <w:jc w:val="center"/>
              <w:rPr>
                <w:rFonts w:ascii="Times New Roman" w:hAnsi="Times New Roman"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82" w:type="pct"/>
            <w:gridSpan w:val="2"/>
            <w:vAlign w:val="center"/>
          </w:tcPr>
          <w:p>
            <w:pPr>
              <w:spacing w:line="0" w:lineRule="atLeast"/>
              <w:jc w:val="center"/>
              <w:rPr>
                <w:rFonts w:ascii="Times New Roman" w:hAnsi="Times New Roman" w:eastAsia="楷体_GB2312"/>
                <w:sz w:val="24"/>
                <w:szCs w:val="24"/>
              </w:rPr>
            </w:pPr>
          </w:p>
        </w:tc>
        <w:tc>
          <w:tcPr>
            <w:tcW w:w="1581" w:type="pct"/>
            <w:gridSpan w:val="2"/>
            <w:vAlign w:val="center"/>
          </w:tcPr>
          <w:p>
            <w:pPr>
              <w:spacing w:line="0" w:lineRule="atLeast"/>
              <w:jc w:val="center"/>
              <w:rPr>
                <w:rFonts w:ascii="Times New Roman" w:hAnsi="Times New Roman" w:eastAsia="楷体_GB2312"/>
                <w:sz w:val="24"/>
                <w:szCs w:val="24"/>
              </w:rPr>
            </w:pPr>
          </w:p>
        </w:tc>
        <w:tc>
          <w:tcPr>
            <w:tcW w:w="1157" w:type="pct"/>
            <w:gridSpan w:val="2"/>
            <w:vAlign w:val="center"/>
          </w:tcPr>
          <w:p>
            <w:pPr>
              <w:spacing w:line="0" w:lineRule="atLeast"/>
              <w:jc w:val="center"/>
              <w:rPr>
                <w:rFonts w:ascii="Times New Roman" w:hAnsi="Times New Roman" w:eastAsia="楷体_GB2312"/>
                <w:sz w:val="24"/>
                <w:szCs w:val="24"/>
              </w:rPr>
            </w:pPr>
          </w:p>
        </w:tc>
        <w:tc>
          <w:tcPr>
            <w:tcW w:w="1378" w:type="pct"/>
            <w:gridSpan w:val="2"/>
            <w:vAlign w:val="center"/>
          </w:tcPr>
          <w:p>
            <w:pPr>
              <w:spacing w:line="0" w:lineRule="atLeast"/>
              <w:jc w:val="center"/>
              <w:rPr>
                <w:rFonts w:ascii="Times New Roman" w:hAnsi="Times New Roman"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5000" w:type="pct"/>
            <w:gridSpan w:val="8"/>
            <w:vAlign w:val="center"/>
          </w:tcPr>
          <w:p>
            <w:pPr>
              <w:spacing w:line="0" w:lineRule="atLeast"/>
              <w:jc w:val="left"/>
              <w:rPr>
                <w:rFonts w:ascii="Times New Roman" w:hAnsi="Times New Roman" w:eastAsia="楷体_GB2312"/>
                <w:sz w:val="24"/>
                <w:szCs w:val="24"/>
              </w:rPr>
            </w:pPr>
            <w:r>
              <w:rPr>
                <w:rFonts w:hint="eastAsia" w:ascii="Times New Roman" w:hAnsi="Times New Roman" w:eastAsia="楷体_GB2312"/>
                <w:sz w:val="24"/>
                <w:szCs w:val="24"/>
              </w:rPr>
              <w:t>企业盖章: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trPr>
        <w:tc>
          <w:tcPr>
            <w:tcW w:w="462" w:type="pct"/>
            <w:vAlign w:val="center"/>
          </w:tcPr>
          <w:p>
            <w:pPr>
              <w:spacing w:line="0" w:lineRule="atLeast"/>
              <w:jc w:val="center"/>
              <w:rPr>
                <w:rFonts w:ascii="Times New Roman" w:hAnsi="Times New Roman" w:eastAsia="楷体_GB2312"/>
                <w:sz w:val="24"/>
                <w:szCs w:val="24"/>
              </w:rPr>
            </w:pPr>
            <w:r>
              <w:rPr>
                <w:rFonts w:hint="eastAsia" w:ascii="Times New Roman" w:hAnsi="Times New Roman" w:eastAsia="楷体_GB2312"/>
                <w:sz w:val="24"/>
                <w:szCs w:val="24"/>
              </w:rPr>
              <w:t>填表说明</w:t>
            </w:r>
          </w:p>
        </w:tc>
        <w:tc>
          <w:tcPr>
            <w:tcW w:w="4537" w:type="pct"/>
            <w:gridSpan w:val="7"/>
            <w:vAlign w:val="center"/>
          </w:tcPr>
          <w:p>
            <w:pPr>
              <w:spacing w:line="0" w:lineRule="atLeast"/>
              <w:rPr>
                <w:rFonts w:ascii="Times New Roman" w:hAnsi="Times New Roman" w:eastAsia="楷体_GB2312"/>
                <w:sz w:val="24"/>
                <w:szCs w:val="24"/>
              </w:rPr>
            </w:pPr>
            <w:r>
              <w:rPr>
                <w:rFonts w:hint="eastAsia" w:ascii="Times New Roman" w:hAnsi="Times New Roman" w:eastAsia="楷体_GB2312"/>
                <w:sz w:val="24"/>
                <w:szCs w:val="24"/>
              </w:rPr>
              <w:t>1.客户联系人应为管理企业期货头寸的套期保值交易负责人，会员联系人应为管理客户套期保值业务申请的负责人。</w:t>
            </w:r>
          </w:p>
          <w:p>
            <w:pPr>
              <w:spacing w:line="0" w:lineRule="atLeast"/>
              <w:ind w:left="240" w:hanging="240" w:hangingChars="100"/>
              <w:rPr>
                <w:rFonts w:ascii="Times New Roman" w:hAnsi="Times New Roman" w:eastAsia="楷体_GB2312"/>
                <w:sz w:val="24"/>
                <w:szCs w:val="24"/>
              </w:rPr>
            </w:pPr>
            <w:r>
              <w:rPr>
                <w:rFonts w:hint="eastAsia" w:ascii="Times New Roman" w:hAnsi="Times New Roman" w:eastAsia="楷体_GB2312"/>
                <w:sz w:val="24"/>
                <w:szCs w:val="24"/>
              </w:rPr>
              <w:t>2.套期保值类型分为一般月份套期保值、交割月份套期保值。其中，一般月份套期保值额度可以使用至交割月份前一个月最后交易日，交割月份套期保值额度可以使用至交割月份的最后交易日。</w:t>
            </w:r>
          </w:p>
          <w:p>
            <w:pPr>
              <w:spacing w:line="0" w:lineRule="atLeast"/>
              <w:ind w:left="240" w:hanging="240" w:hangingChars="100"/>
              <w:rPr>
                <w:rFonts w:ascii="Times New Roman" w:hAnsi="Times New Roman" w:eastAsia="楷体_GB2312"/>
                <w:sz w:val="24"/>
                <w:szCs w:val="24"/>
              </w:rPr>
            </w:pPr>
            <w:r>
              <w:rPr>
                <w:rFonts w:hint="eastAsia" w:ascii="Times New Roman" w:hAnsi="Times New Roman" w:eastAsia="楷体_GB2312"/>
                <w:sz w:val="24"/>
                <w:szCs w:val="24"/>
              </w:rPr>
              <w:t>3.申请企业可以同时申请</w:t>
            </w:r>
            <w:r>
              <w:rPr>
                <w:rFonts w:hint="eastAsia" w:ascii="Times New Roman" w:hAnsi="Times New Roman" w:eastAsia="楷体_GB2312"/>
                <w:sz w:val="24"/>
                <w:szCs w:val="24"/>
                <w:lang w:val="en-US" w:eastAsia="zh-CN"/>
              </w:rPr>
              <w:t>期货品种</w:t>
            </w:r>
            <w:r>
              <w:rPr>
                <w:rFonts w:hint="eastAsia" w:ascii="Times New Roman" w:hAnsi="Times New Roman" w:eastAsia="楷体_GB2312"/>
                <w:sz w:val="24"/>
                <w:szCs w:val="24"/>
              </w:rPr>
              <w:t>多个合约的一般月份套期保值建仓需求额度，但只能同时申请同一品种一个合约的交割月份套期保值建仓需求额度。</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jOGU4YmY2Mjk3MjI3MDY2N2EyNjMxOGQyMGJmOTcifQ=="/>
  </w:docVars>
  <w:rsids>
    <w:rsidRoot w:val="00D5363A"/>
    <w:rsid w:val="00053D26"/>
    <w:rsid w:val="00570020"/>
    <w:rsid w:val="007B5816"/>
    <w:rsid w:val="00973DA3"/>
    <w:rsid w:val="00D5363A"/>
    <w:rsid w:val="00E360E7"/>
    <w:rsid w:val="00F5305A"/>
    <w:rsid w:val="017C3CAF"/>
    <w:rsid w:val="07357488"/>
    <w:rsid w:val="0B741EEA"/>
    <w:rsid w:val="35406C54"/>
    <w:rsid w:val="5FFD0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303</Words>
  <Characters>306</Characters>
  <Lines>2</Lines>
  <Paragraphs>1</Paragraphs>
  <TotalTime>2</TotalTime>
  <ScaleCrop>false</ScaleCrop>
  <LinksUpToDate>false</LinksUpToDate>
  <CharactersWithSpaces>306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2019-08-08T06:17:00Z</dcterms:created>
  <dc:creator>Windows User</dc:creator>
  <cp:lastModifiedBy>马良</cp:lastModifiedBy>
  <dcterms:modified xsi:type="dcterms:W3CDTF">2022-12-13T06:17:48Z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8E44240CC5BF475696567606B7356DD3</vt:lpwstr>
  </property>
</Properties>
</file>