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jc w:val="center"/>
        <w:textAlignment w:val="auto"/>
        <w:outlineLvl w:val="0"/>
        <w:rPr>
          <w:rFonts w:hint="eastAsia"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企业现货经营业绩及计划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outlineLvl w:val="0"/>
        <w:rPr>
          <w:rFonts w:hint="eastAsia" w:ascii="Times New Roman" w:hAnsi="Times New Roman" w:eastAsia="黑体"/>
          <w:b/>
          <w:strike w:val="0"/>
          <w:dstrike w:val="0"/>
          <w:sz w:val="44"/>
          <w:szCs w:val="44"/>
        </w:rPr>
      </w:pPr>
      <w:r>
        <w:rPr>
          <w:rFonts w:hint="eastAsia" w:ascii="Times New Roman" w:hAnsi="Times New Roman" w:eastAsia="黑体"/>
          <w:b/>
          <w:strike w:val="0"/>
          <w:dstrike w:val="0"/>
          <w:sz w:val="44"/>
          <w:szCs w:val="44"/>
        </w:rPr>
        <w:t>（仅供会员单位参考）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outlineLvl w:val="0"/>
        <w:rPr>
          <w:rFonts w:hint="eastAsia" w:ascii="Times New Roman" w:hAnsi="Times New Roman" w:eastAsia="黑体"/>
          <w:b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（一般月份及交割月份套期保值适用）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outlineLvl w:val="0"/>
        <w:rPr>
          <w:rFonts w:hint="eastAsia" w:ascii="Times New Roman" w:hAnsi="Times New Roman" w:eastAsia="黑体"/>
          <w:b/>
          <w:sz w:val="24"/>
          <w:szCs w:val="24"/>
        </w:rPr>
      </w:pPr>
    </w:p>
    <w:tbl>
      <w:tblPr>
        <w:tblStyle w:val="4"/>
        <w:tblW w:w="54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980"/>
        <w:gridCol w:w="4035"/>
        <w:gridCol w:w="4634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66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经营模式</w:t>
            </w: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经营年度</w:t>
            </w: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经营品种</w:t>
            </w: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数据类型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（经营业绩/经营计划）</w:t>
            </w: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经营数量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生产</w:t>
            </w: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加工</w:t>
            </w: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贸易</w:t>
            </w: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终端消费</w:t>
            </w: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风险管理服务</w:t>
            </w: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restart"/>
            <w:vAlign w:val="center"/>
          </w:tcPr>
          <w:p>
            <w:pPr>
              <w:spacing w:line="0" w:lineRule="atLeast"/>
              <w:ind w:firstLine="240" w:firstLineChars="100"/>
              <w:jc w:val="left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7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94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填表说明：</w:t>
      </w: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经营模式为生产的，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统计企业在经营年度内生产及销售套保商品的数量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经营模式为加工的，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统计企业在经营年度内采购及加工套保商品的数量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经营模式为</w:t>
      </w:r>
      <w:bookmarkStart w:id="0" w:name="_GoBack"/>
      <w:bookmarkEnd w:id="0"/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贸易的，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统计企业在经营年度内采购及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销售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套保商品的数量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经营模式为终端消费的，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统计企业在经营年度内采购及使用套保商品的数量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经营模式为风险管理服务的，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统计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在经营年度内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开展风险管理服务业务涉及套保商品的数量；</w:t>
      </w: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经营模式为其他的，请备注具体业务类型，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统计企业在经营年度内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开展相关业务涉及套保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商品的数量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shd w:val="clear" w:color="FFFFFF" w:fill="D9D9D9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:shd w:val="clear" w:color="FFFFFF" w:fill="D9D9D9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8"/>
        <w:numPr>
          <w:ilvl w:val="0"/>
          <w:numId w:val="0"/>
        </w:numPr>
        <w:spacing w:line="0" w:lineRule="atLeast"/>
        <w:ind w:leftChars="0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截至</w:t>
      </w:r>
      <w:r>
        <w:rPr>
          <w:rFonts w:hint="default" w:ascii="仿宋" w:hAnsi="仿宋" w:eastAsia="仿宋" w:cs="仿宋"/>
          <w:color w:val="0D0D0D" w:themeColor="text1" w:themeTint="F2"/>
          <w:sz w:val="24"/>
          <w:szCs w:val="24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default" w:ascii="仿宋" w:hAnsi="仿宋" w:eastAsia="仿宋" w:cs="仿宋"/>
          <w:color w:val="0D0D0D" w:themeColor="text1" w:themeTint="F2"/>
          <w:sz w:val="24"/>
          <w:szCs w:val="24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default" w:ascii="仿宋" w:hAnsi="仿宋" w:eastAsia="仿宋" w:cs="仿宋"/>
          <w:color w:val="0D0D0D" w:themeColor="text1" w:themeTint="F2"/>
          <w:sz w:val="24"/>
          <w:szCs w:val="24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日，本公司持有</w:t>
      </w:r>
      <w:r>
        <w:rPr>
          <w:rFonts w:hint="default" w:ascii="仿宋" w:hAnsi="仿宋" w:eastAsia="仿宋" w:cs="仿宋"/>
          <w:color w:val="0D0D0D" w:themeColor="text1" w:themeTint="F2"/>
          <w:sz w:val="24"/>
          <w:szCs w:val="24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品种现货数量为</w:t>
      </w:r>
      <w:r>
        <w:rPr>
          <w:rFonts w:hint="default" w:ascii="仿宋" w:hAnsi="仿宋" w:eastAsia="仿宋" w:cs="仿宋"/>
          <w:color w:val="0D0D0D" w:themeColor="text1" w:themeTint="F2"/>
          <w:sz w:val="24"/>
          <w:szCs w:val="24"/>
          <w:u w:val="single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吨</w:t>
      </w: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/立方米/张</w:t>
      </w:r>
    </w:p>
    <w:p>
      <w:pPr>
        <w:pStyle w:val="8"/>
        <w:numPr>
          <w:ilvl w:val="0"/>
          <w:numId w:val="0"/>
        </w:numPr>
        <w:spacing w:line="0" w:lineRule="atLeast"/>
        <w:jc w:val="left"/>
        <w:rPr>
          <w:rFonts w:hint="default" w:ascii="仿宋" w:hAnsi="仿宋" w:eastAsia="仿宋" w:cs="仿宋"/>
          <w:color w:val="0D0D0D" w:themeColor="text1" w:themeTint="F2"/>
          <w:sz w:val="24"/>
          <w:szCs w:val="24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原木、纤维板数量单位为立方米，胶合板数量单位为张，其他品种数量单位为吨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)</w:t>
      </w: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0" w:lineRule="atLeast"/>
        <w:jc w:val="left"/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企业盖章：</w:t>
      </w:r>
    </w:p>
    <w:p>
      <w:pPr>
        <w:spacing w:line="0" w:lineRule="atLeast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3D74FB"/>
    <w:rsid w:val="006B626E"/>
    <w:rsid w:val="0070348A"/>
    <w:rsid w:val="007B5816"/>
    <w:rsid w:val="00973DA3"/>
    <w:rsid w:val="00BE27B2"/>
    <w:rsid w:val="00C919E6"/>
    <w:rsid w:val="00D5363A"/>
    <w:rsid w:val="00E70A06"/>
    <w:rsid w:val="00E74E8F"/>
    <w:rsid w:val="00EE4BD6"/>
    <w:rsid w:val="1A9F626A"/>
    <w:rsid w:val="277F2CFE"/>
    <w:rsid w:val="2E7301D5"/>
    <w:rsid w:val="3EFB4263"/>
    <w:rsid w:val="47EB3C9D"/>
    <w:rsid w:val="5DFF2D93"/>
    <w:rsid w:val="677E980B"/>
    <w:rsid w:val="77575DF5"/>
    <w:rsid w:val="9F3F456D"/>
    <w:rsid w:val="BF0519A0"/>
    <w:rsid w:val="DD7F5B8D"/>
    <w:rsid w:val="ED7F4443"/>
    <w:rsid w:val="FB6C94BC"/>
    <w:rsid w:val="FF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392</Characters>
  <Lines>3</Lines>
  <Paragraphs>1</Paragraphs>
  <TotalTime>41</TotalTime>
  <ScaleCrop>false</ScaleCrop>
  <LinksUpToDate>false</LinksUpToDate>
  <CharactersWithSpaces>459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2019-08-10T14:17:00Z</dcterms:created>
  <dc:creator>Windows User</dc:creator>
  <cp:lastModifiedBy>wujc</cp:lastModifiedBy>
  <cp:lastPrinted>2024-11-19T13:48:00Z</cp:lastPrinted>
  <dcterms:modified xsi:type="dcterms:W3CDTF">2024-11-29T08:32:16Z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B590FD6DD96A23FBD49E356741A17BC7</vt:lpwstr>
  </property>
</Properties>
</file>